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ANGÉLA TÓTH</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Lattmann</w:t>
            </w:r>
          </w:p>
          <w:p w:rsidR="00DB4822" w:rsidRDefault="00DB4822" w:rsidP="00E11062">
            <w:pPr>
              <w:pStyle w:val="Konzulensek"/>
            </w:pPr>
            <w:r w:rsidRPr="00DB4822">
              <w:t>professor's assistant,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problem of universal jurisdiction in international law</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Universal jurisdiction is a principle giving authority to a State in penal cases to act in case of determined crimes without any link of the crime to that State. This paper begins its approach from this freely given definition avoiding the problems concerning the aforementioned principle, and through the examination of the theoretical differences – such as which crimes are concerned by this principle, whether a State is obligated or just has a right to act, whether the offender should be present in the acting State – an exact definition for universal jurisdiction is attempted to be found.</w:t>
      </w:r>
    </w:p>
    <w:p>
      <w:pPr>
        <w:pBdr/>
        <w:spacing w:before="240" w:after="240" w:line="240" w:lineRule="auto"/>
        <w:ind w:left="0" w:right="0"/>
        <w:jc w:val="left"/>
      </w:pPr>
      <w:r>
        <w:rPr>
          <w:color w:val="000000"/>
          <w:sz w:val="24"/>
          <w:szCs w:val="24"/>
        </w:rPr>
        <w:t xml:space="preserve">Then the appearance of universal jurisdiction in different legal systems is examined, because States interpret this in several ways. The Belgian regulation should be emphasized, where the use of universal jurisdiction was widely possible, but due to the (political) opinion of other States, some restrictions were introduced in 2003.</w:t>
      </w:r>
    </w:p>
    <w:p>
      <w:pPr>
        <w:pBdr/>
        <w:spacing w:before="240" w:after="240" w:line="240" w:lineRule="auto"/>
        <w:ind w:left="0" w:right="0"/>
        <w:jc w:val="left"/>
      </w:pPr>
      <w:r>
        <w:rPr>
          <w:color w:val="000000"/>
          <w:sz w:val="24"/>
          <w:szCs w:val="24"/>
        </w:rPr>
        <w:t xml:space="preserve">But why was this opinion so hostile with this practice? The problems arising from this question, namely the relation between universal jurisdiction and the principle of sovereignty, then the relation between universal jurisdiction and the International Criminal Court, the possible ways of reorganizing the system of this relation are discussed in the second part. In the end, a „pro-con” list is made, because regarding the lack of unitary definition and the diverse practice, one should ask whether the principle of universal jurisdiction is needed at all.</w:t>
      </w:r>
    </w:p>
    <w:p>
      <w:pPr>
        <w:pBdr/>
        <w:spacing w:before="240" w:after="240" w:line="240" w:lineRule="auto"/>
        <w:ind w:left="0" w:right="0"/>
        <w:jc w:val="left"/>
      </w:pPr>
      <w:r>
        <w:rPr>
          <w:color w:val="000000"/>
          <w:sz w:val="24"/>
          <w:szCs w:val="24"/>
        </w:rPr>
        <w:t xml:space="preserve">It has several conditions to be applicable, moreover its application is subsidiary, but as it is implied in its name, it should be universal; however it envisions the goals of the whole international community, national jurisdictions are competent to act; its objectives are largely approved by States, but they seem to be reluctant to apply universal jurisdiction – these are just examples of the contradictions making the principle of universal jurisdiction an interesting subject to examine. This statement could be confirmed by the fact that the Sixth Committee considers (again) the subject during the sixty-seventh session of the United Nations.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325070">
    <w:multiLevelType w:val="hybridMultilevel"/>
    <w:lvl w:ilvl="0" w:tplc="363329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325070">
    <w:abstractNumId w:val="613250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03892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