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MÁRK SŐRÉS</w:t>
            </w:r>
          </w:p>
          <w:p w:rsidR="00C275A3" w:rsidRDefault="00A96AEC" w:rsidP="00C275A3">
            <w:pPr>
              <w:pStyle w:val="Hallgatokepzes"/>
            </w:pPr>
            <w:r>
              <w:t>Electrical Engineer</w:t>
            </w:r>
            <w:r>
              <w:br/>
            </w:r>
            <w:r w:rsidR="00E77B23">
              <w:t>MSc, 4. semester</w:t>
            </w:r>
          </w:p>
          <w:p w:rsidR="00C265CE" w:rsidRPr="009E5FF1" w:rsidRDefault="00E77B23" w:rsidP="00C275A3">
            <w:pPr>
              <w:pStyle w:val="Hallgatokepzes"/>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Dávid Raisz</w:t>
            </w:r>
          </w:p>
          <w:p w:rsidR="00DB4822" w:rsidRDefault="00DB4822" w:rsidP="00E11062">
            <w:pPr>
              <w:pStyle w:val="Konzulensek"/>
            </w:pPr>
            <w:r w:rsidRPr="00DB4822">
              <w:t>Associate Professor,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Flow-based Capacity Calculation Method Used in Electricity Market Coupling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Liberalization of the electricity markets in the EU is still not finished. The aim of the development is to create an Internal Electricity Market (IEM). The integration process are regulated by framework guidelines approved by EU policy makers. The envisioned target model for day-ahead markets is the coupling of power exchanges. Market couplings allocate transmission capacity by implicit methods i.e. simultaneously with the traded energy. Trading between exchanges and other cross-border transactions are limited by congestions in the electric grid. Flow-based capacity calculation should be introduced for determining these transfer capabilities which – unlike the current NTC based calculation – can assess real physical power flows occurring on the network branches.[1]</w:t>
      </w:r>
      <w:r>
        <w:rPr>
          <w:color w:val="000000"/>
          <w:sz w:val="24"/>
          <w:szCs w:val="24"/>
        </w:rPr>
        <w:br/>
        <w:t xml:space="preserve">Main contribution of my work was upgrading a market clearing algorithm (based on [2]) written by the associates of the Department of Electric Power Engineering implementing flow-based capacity constraints.</w:t>
      </w:r>
      <w:r>
        <w:rPr>
          <w:color w:val="000000"/>
          <w:sz w:val="24"/>
          <w:szCs w:val="24"/>
        </w:rPr>
        <w:br/>
        <w:t xml:space="preserve">In my paper I present the power exchanges and capacity calculation procedures. I compare the two planned (CEE and CWE) flow-based allocation process. Based on this information I presented the mathematical formulation of flow-based constraints unattainable from public descriptions and I implemented these expressions into the market coupling software running in MATLAB environment. The algorithm uses a new approach to calculate the resulting cross-border bilateral transactions. [3]</w:t>
      </w:r>
      <w:r>
        <w:rPr>
          <w:color w:val="000000"/>
          <w:sz w:val="24"/>
          <w:szCs w:val="24"/>
        </w:rPr>
        <w:br/>
        <w:t xml:space="preserve">I demonstrated the capabilities of the software not only for simple problems but for using capacity figures from a real load flow model of the Central European grid constructed from publicly available information, too. I studied the consequences of outages and I indentified the most critical network elements. For a fast and efficient analysis of the high amount of network data I developed a prefiltering algorithm. As a result of my work the market coupling solver can handle the novel capacity definitions defined in the target model of the IEM and it can facilitate further research and academic projects.</w:t>
      </w:r>
      <w:r>
        <w:rPr>
          <w:color w:val="000000"/>
          <w:sz w:val="24"/>
          <w:szCs w:val="24"/>
        </w:rPr>
        <w:br/>
        <w:t xml:space="preserve">[1] ACER: „Framework Guidelines on Capacity Allocation and Congestion Management for Electricity” Published 29th July 2011</w:t>
      </w:r>
      <w:r>
        <w:rPr>
          <w:color w:val="000000"/>
          <w:sz w:val="24"/>
          <w:szCs w:val="24"/>
        </w:rPr>
        <w:br/>
        <w:t xml:space="preserve">[2] Divényi D. et al: „Szervezett villamosenergia-piac algoritmus fejlesztése és alkalmazása” Elektrotechnika 105. évf, 2012/07-08 pp.5-7., Budapest</w:t>
      </w:r>
      <w:r>
        <w:rPr>
          <w:color w:val="000000"/>
          <w:sz w:val="24"/>
          <w:szCs w:val="24"/>
        </w:rPr>
        <w:br/>
        <w:t xml:space="preserve">[3] R. Djabali et al.: „COSMOS description – CWE Market Coupling Algorithm” Final 1.1 version, 14th January 2011</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048133">
    <w:multiLevelType w:val="hybridMultilevel"/>
    <w:lvl w:ilvl="0" w:tplc="423449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048133">
    <w:abstractNumId w:val="410481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00655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