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BÓDI</w:t>
            </w:r>
          </w:p>
          <w:p w:rsidR="00C275A3" w:rsidRDefault="00A96AEC" w:rsidP="00C275A3">
            <w:pPr>
              <w:pStyle w:val="Hallgatokepzes"/>
            </w:pPr>
            <w:r>
              <w:t>Environmental Management and Agricultural Engineer</w:t>
            </w:r>
            <w:r>
              <w:br/>
            </w:r>
            <w:r w:rsidR="00E77B23">
              <w:t>BSc, 5.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Kátai</w:t>
            </w:r>
          </w:p>
          <w:p w:rsidR="00DB4822" w:rsidRDefault="00DB4822" w:rsidP="00E11062">
            <w:pPr>
              <w:pStyle w:val="Konzulensek"/>
            </w:pPr>
            <w:r w:rsidRPr="00DB4822">
              <w:t>professor , DE MÉK University of Debrecen 
Faculty of Agricultural and Food Sciences and Environmental Management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different biopreparations in pot experiment (Különböző biokészítmények hatásainak vizsgálata tenyészedényes kísérletben)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days the agricultural application of different organic products (fertilizers) has come into the foreground, the benefits of which more and more literatures refer to. By their application the substantial usage of chemicals can be reduced and a new opportunity for environmental friendly nutrient supply of crops may open.</w:t>
      </w:r>
    </w:p>
    <w:p>
      <w:pPr>
        <w:widowControl w:val="on"/>
        <w:pBdr/>
        <w:spacing w:before="240" w:after="240" w:line="240" w:lineRule="auto"/>
        <w:ind w:left="0" w:right="0"/>
        <w:jc w:val="left"/>
      </w:pPr>
      <w:r>
        <w:rPr>
          <w:color w:val="000000"/>
          <w:sz w:val="24"/>
          <w:szCs w:val="24"/>
        </w:rPr>
        <w:t xml:space="preserve">In our research we examined the effects of different organic products (fertilizers) under pot circumstances.</w:t>
      </w:r>
    </w:p>
    <w:p>
      <w:pPr>
        <w:widowControl w:val="on"/>
        <w:pBdr/>
        <w:spacing w:before="240" w:after="240" w:line="240" w:lineRule="auto"/>
        <w:ind w:left="0" w:right="0"/>
        <w:jc w:val="left"/>
      </w:pPr>
      <w:r>
        <w:rPr>
          <w:color w:val="000000"/>
          <w:sz w:val="24"/>
          <w:szCs w:val="24"/>
        </w:rPr>
        <w:t xml:space="preserve">Our experiment was carried out in the plant breeding (green) house of Institute of Agrochemistry and Soil Science DE AGTC MÉK on humic sandy soil in 2012. As a test crop, onion (Allium cepa, L.) was used. The duration of the treatment was a month (a 4 weeks period). The 12 treatments were set up in an overall 36 pots (a weight of 1,35kg each).</w:t>
      </w:r>
    </w:p>
    <w:p>
      <w:pPr>
        <w:widowControl w:val="on"/>
        <w:pBdr/>
        <w:spacing w:before="240" w:after="240" w:line="240" w:lineRule="auto"/>
        <w:ind w:left="0" w:right="0"/>
        <w:jc w:val="left"/>
      </w:pPr>
      <w:r>
        <w:rPr>
          <w:color w:val="000000"/>
          <w:sz w:val="24"/>
          <w:szCs w:val="24"/>
        </w:rPr>
        <w:t xml:space="preserve">In the experiment the following treatments and treatment combinations were applied:</w:t>
      </w:r>
    </w:p>
    <w:p>
      <w:pPr>
        <w:widowControl w:val="on"/>
        <w:pBdr/>
        <w:spacing w:before="240" w:after="240" w:line="240" w:lineRule="auto"/>
        <w:ind w:left="0" w:right="0"/>
        <w:jc w:val="left"/>
      </w:pPr>
      <w:r>
        <w:rPr>
          <w:color w:val="000000"/>
          <w:sz w:val="24"/>
          <w:szCs w:val="24"/>
        </w:rPr>
        <w:t xml:space="preserve">1. Control (no treatment)</w:t>
      </w:r>
    </w:p>
    <w:p>
      <w:pPr>
        <w:widowControl w:val="on"/>
        <w:pBdr/>
        <w:spacing w:before="240" w:after="240" w:line="240" w:lineRule="auto"/>
        <w:ind w:left="0" w:right="0"/>
        <w:jc w:val="left"/>
      </w:pPr>
      <w:r>
        <w:rPr>
          <w:color w:val="000000"/>
          <w:sz w:val="24"/>
          <w:szCs w:val="24"/>
        </w:rPr>
        <w:t xml:space="preserve">2. NPK fertilizer</w:t>
      </w:r>
    </w:p>
    <w:p>
      <w:pPr>
        <w:widowControl w:val="on"/>
        <w:pBdr/>
        <w:spacing w:before="240" w:after="240" w:line="240" w:lineRule="auto"/>
        <w:ind w:left="0" w:right="0"/>
        <w:jc w:val="left"/>
      </w:pPr>
      <w:r>
        <w:rPr>
          <w:color w:val="000000"/>
          <w:sz w:val="24"/>
          <w:szCs w:val="24"/>
        </w:rPr>
        <w:t xml:space="preserve">3. simple of Amykor (fungi product)</w:t>
      </w:r>
    </w:p>
    <w:p>
      <w:pPr>
        <w:widowControl w:val="on"/>
        <w:pBdr/>
        <w:spacing w:before="240" w:after="240" w:line="240" w:lineRule="auto"/>
        <w:ind w:left="0" w:right="0"/>
        <w:jc w:val="left"/>
      </w:pPr>
      <w:r>
        <w:rPr>
          <w:color w:val="000000"/>
          <w:sz w:val="24"/>
          <w:szCs w:val="24"/>
        </w:rPr>
        <w:t xml:space="preserve">4. NPK fertilizer + simple of Amykor</w:t>
      </w:r>
    </w:p>
    <w:p>
      <w:pPr>
        <w:widowControl w:val="on"/>
        <w:pBdr/>
        <w:spacing w:before="240" w:after="240" w:line="240" w:lineRule="auto"/>
        <w:ind w:left="0" w:right="0"/>
        <w:jc w:val="left"/>
      </w:pPr>
      <w:r>
        <w:rPr>
          <w:color w:val="000000"/>
          <w:sz w:val="24"/>
          <w:szCs w:val="24"/>
        </w:rPr>
        <w:t xml:space="preserve">5. double dose of Amykor</w:t>
      </w:r>
    </w:p>
    <w:p>
      <w:pPr>
        <w:widowControl w:val="on"/>
        <w:pBdr/>
        <w:spacing w:before="240" w:after="240" w:line="240" w:lineRule="auto"/>
        <w:ind w:left="0" w:right="0"/>
        <w:jc w:val="left"/>
      </w:pPr>
      <w:r>
        <w:rPr>
          <w:color w:val="000000"/>
          <w:sz w:val="24"/>
          <w:szCs w:val="24"/>
        </w:rPr>
        <w:t xml:space="preserve">6. NPK fertilizer + double dose of Amykor</w:t>
      </w:r>
    </w:p>
    <w:p>
      <w:pPr>
        <w:widowControl w:val="on"/>
        <w:pBdr/>
        <w:spacing w:before="240" w:after="240" w:line="240" w:lineRule="auto"/>
        <w:ind w:left="0" w:right="0"/>
        <w:jc w:val="left"/>
      </w:pPr>
      <w:r>
        <w:rPr>
          <w:color w:val="000000"/>
          <w:sz w:val="24"/>
          <w:szCs w:val="24"/>
        </w:rPr>
        <w:t xml:space="preserve">7. Organic Green Gold (alga product), sprinkled in every 10 days</w:t>
      </w:r>
    </w:p>
    <w:p>
      <w:pPr>
        <w:widowControl w:val="on"/>
        <w:pBdr/>
        <w:spacing w:before="240" w:after="240" w:line="240" w:lineRule="auto"/>
        <w:ind w:left="0" w:right="0"/>
        <w:jc w:val="left"/>
      </w:pPr>
      <w:r>
        <w:rPr>
          <w:color w:val="000000"/>
          <w:sz w:val="24"/>
          <w:szCs w:val="24"/>
        </w:rPr>
        <w:t xml:space="preserve">8. Organic Green Gold, sprinkled in every 14 days</w:t>
      </w:r>
    </w:p>
    <w:p>
      <w:pPr>
        <w:widowControl w:val="on"/>
        <w:pBdr/>
        <w:spacing w:before="240" w:after="240" w:line="240" w:lineRule="auto"/>
        <w:ind w:left="0" w:right="0"/>
        <w:jc w:val="left"/>
      </w:pPr>
      <w:r>
        <w:rPr>
          <w:color w:val="000000"/>
          <w:sz w:val="24"/>
          <w:szCs w:val="24"/>
        </w:rPr>
        <w:t xml:space="preserve">9. Organic Green Gold, sprinkled in every 21 days</w:t>
      </w:r>
    </w:p>
    <w:p>
      <w:pPr>
        <w:widowControl w:val="on"/>
        <w:pBdr/>
        <w:spacing w:before="240" w:after="240" w:line="240" w:lineRule="auto"/>
        <w:ind w:left="0" w:right="0"/>
        <w:jc w:val="left"/>
      </w:pPr>
      <w:r>
        <w:rPr>
          <w:color w:val="000000"/>
          <w:sz w:val="24"/>
          <w:szCs w:val="24"/>
        </w:rPr>
        <w:t xml:space="preserve">10. NPK fertilizer + Organic Green Gold, sprayed in every 10 days</w:t>
      </w:r>
    </w:p>
    <w:p>
      <w:pPr>
        <w:widowControl w:val="on"/>
        <w:pBdr/>
        <w:spacing w:before="240" w:after="240" w:line="240" w:lineRule="auto"/>
        <w:ind w:left="0" w:right="0"/>
        <w:jc w:val="left"/>
      </w:pPr>
      <w:r>
        <w:rPr>
          <w:color w:val="000000"/>
          <w:sz w:val="24"/>
          <w:szCs w:val="24"/>
        </w:rPr>
        <w:t xml:space="preserve">11. Amino acid product, sprinkled in every 14 days</w:t>
      </w:r>
    </w:p>
    <w:p>
      <w:pPr>
        <w:widowControl w:val="on"/>
        <w:pBdr/>
        <w:spacing w:before="240" w:after="240" w:line="240" w:lineRule="auto"/>
        <w:ind w:left="0" w:right="0"/>
        <w:jc w:val="left"/>
      </w:pPr>
      <w:r>
        <w:rPr>
          <w:color w:val="000000"/>
          <w:sz w:val="24"/>
          <w:szCs w:val="24"/>
        </w:rPr>
        <w:t xml:space="preserve">12. Organic Green Gold, sprinkled in every 10 days + amno acid product, sprinkled in every 14 days</w:t>
      </w:r>
    </w:p>
    <w:p>
      <w:pPr>
        <w:widowControl w:val="on"/>
        <w:pBdr/>
        <w:spacing w:before="240" w:after="240" w:line="240" w:lineRule="auto"/>
        <w:ind w:left="0" w:right="0"/>
        <w:jc w:val="left"/>
      </w:pPr>
      <w:r>
        <w:rPr>
          <w:color w:val="000000"/>
          <w:sz w:val="24"/>
          <w:szCs w:val="24"/>
        </w:rPr>
        <w:t xml:space="preserve">The treatments were carried out with a hand sprayer. Particular concentrations and amounts of dilutions were sprayed out.</w:t>
      </w:r>
    </w:p>
    <w:p>
      <w:pPr>
        <w:widowControl w:val="on"/>
        <w:pBdr/>
        <w:spacing w:before="240" w:after="240" w:line="240" w:lineRule="auto"/>
        <w:ind w:left="0" w:right="0"/>
        <w:jc w:val="left"/>
      </w:pPr>
      <w:r>
        <w:rPr>
          <w:color w:val="000000"/>
          <w:sz w:val="24"/>
          <w:szCs w:val="24"/>
        </w:rPr>
        <w:t xml:space="preserve">At the end of the experiment the green weight of the onion bulbs and roots and the green weight of the leaves were measured. Besides NO3–Nitrogen-, AL–soluble phosphorus and potassium content of the samples, the total number of bacteria, the number of microscopic fungi and the phosphatase enzyme activity were also investigated.</w:t>
      </w:r>
    </w:p>
    <w:p>
      <w:pPr>
        <w:widowControl w:val="on"/>
        <w:pBdr/>
        <w:spacing w:before="240" w:after="240" w:line="240" w:lineRule="auto"/>
        <w:ind w:left="0" w:right="0"/>
        <w:jc w:val="left"/>
      </w:pPr>
      <w:r>
        <w:rPr>
          <w:color w:val="000000"/>
          <w:sz w:val="24"/>
          <w:szCs w:val="24"/>
        </w:rPr>
        <w:t xml:space="preserve">In evaluating the results the certain parameters of the treatments were compared to the untreated –control – samples. For the examination of the statistically proven differences among the results one – way ANOVA (Analysis of Variance) was applied, in which the values of the LSD5%. were also determined.</w:t>
      </w:r>
    </w:p>
    <w:p>
      <w:pPr>
        <w:widowControl w:val="on"/>
        <w:pBdr/>
        <w:spacing w:before="240" w:after="240" w:line="240" w:lineRule="auto"/>
        <w:ind w:left="0" w:right="0"/>
        <w:jc w:val="left"/>
      </w:pPr>
      <w:r>
        <w:rPr>
          <w:color w:val="000000"/>
          <w:sz w:val="24"/>
          <w:szCs w:val="24"/>
        </w:rPr>
        <w:t xml:space="preserve">In this paper a part of our experiment the results of the first 6 treatment were presented.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37636">
    <w:multiLevelType w:val="hybridMultilevel"/>
    <w:lvl w:ilvl="0" w:tplc="36376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37636">
    <w:abstractNumId w:val="80037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07671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