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KARINA BIANKA BODNÁR</w:t>
            </w:r>
          </w:p>
          <w:p w:rsidR="00C275A3" w:rsidRDefault="00A96AEC" w:rsidP="00C275A3">
            <w:pPr>
              <w:pStyle w:val="Hallgatokepzes"/>
            </w:pPr>
            <w:r>
              <w:t>Food quality manager</w:t>
            </w:r>
            <w:r>
              <w:br/>
            </w:r>
            <w:r w:rsidR="00E77B23">
              <w:t>BSc,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Tóth</w:t>
            </w:r>
          </w:p>
          <w:p w:rsidR="00DB4822" w:rsidRDefault="00DB4822" w:rsidP="00E11062">
            <w:pPr>
              <w:pStyle w:val="Konzulensek"/>
            </w:pPr>
            <w:r w:rsidRPr="00DB4822">
              <w:t>Assistant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biotic factors on main physiology parameters of maize hybrides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Soils can be used optimally for the cultivation, if we consider them not only as a lifeless mass with chemical and physical properties but as a living material with huge amounts of living mikroorgasnisms which is changing the composition in consequence of metabolic cycles. For the findings of soil fertility should be aware in physiology properties. The soil chemical experiments influence in the study of soil microorganism. The way of biological cultivation is the more complete exploration of the methods and the fertility of the soil to reach better harvest results.</w:t>
      </w:r>
      <w:r>
        <w:rPr>
          <w:color w:val="000000"/>
          <w:sz w:val="24"/>
          <w:szCs w:val="24"/>
        </w:rPr>
        <w:br/>
        <w:t xml:space="preserve">The effect of two living bacteria containing biofertilizers were examined on 15 maize (Zea mays L.) hybrids (GH 2042, SPIRIT, DKC 4608, 4590 DKC, DKC 5007, 5276 DKC, DKC 5190, 4795 DKC, DKC 4014, EF 4503, EG 4707, EC 5009, EF 5209, EH 3605, EF 4705), under laboratory conditions. One of the biofertilizers which I marked with „A” contains two bacteria: Azotobacter chrococcum and Bacillus megaterium. The other biofertilizer contains as the following („B”): Azospirillum brasielnse, Azotobacter vinerólandii, Bacillus megaterium, Bacillus polymyxa, Pseudomonas fluorescens, Sterptomyces albus.</w:t>
      </w:r>
      <w:r>
        <w:rPr>
          <w:color w:val="000000"/>
          <w:sz w:val="24"/>
          <w:szCs w:val="24"/>
        </w:rPr>
        <w:br/>
        <w:t xml:space="preserve">The experiment was conducted by a "pre-test" because the various hybrids may have different nutritional requirements. Deficiency symptoms were not found when Monocotyledonae nutrient solution was used at five hybrids (DKC 5190, GH 2042, DKC 4014, DKC 4590, DKC 4608) with potassium and with calcium in case of one hybrid (EG 5009).</w:t>
      </w:r>
      <w:r>
        <w:rPr>
          <w:color w:val="000000"/>
          <w:sz w:val="24"/>
          <w:szCs w:val="24"/>
        </w:rPr>
        <w:br/>
        <w:t xml:space="preserve">The dry matter accumulation of roots and shoots, the relative chlorophyll content of 2nd and 3rd leaves (SPAD-unit), the photosynthetic pigments (chlorophyll-a, chlorophyll-b, carotenoids) and leaf area were measured.</w:t>
      </w:r>
      <w:r>
        <w:rPr>
          <w:color w:val="000000"/>
          <w:sz w:val="24"/>
          <w:szCs w:val="24"/>
        </w:rPr>
        <w:br/>
        <w:t xml:space="preserve">By the results of the experiment I conclude that the living bacteria containing biofertilizers have different effects on the various maize hybrids.</w:t>
      </w:r>
      <w:r>
        <w:rPr>
          <w:color w:val="000000"/>
          <w:sz w:val="24"/>
          <w:szCs w:val="24"/>
        </w:rPr>
        <w:br/>
        <w:t xml:space="preserve">The „A” biomanure increased the dry weight of the DKC 5007, DKC 5276, EF 4705, EH 3605 and DKC 4590 hybrids while the „B” living bacteria containing biofertilizer was effective on the DKC 5109, EG 4707, GH 2042, DKC 4014 and DKC 4795 hybrids.</w:t>
      </w:r>
      <w:r>
        <w:rPr>
          <w:color w:val="000000"/>
          <w:sz w:val="24"/>
          <w:szCs w:val="24"/>
        </w:rPr>
        <w:br/>
        <w:t xml:space="preserve">The other test parameters are also different depending on the comparison of the living bacteria containing biofertilizer.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75690">
    <w:multiLevelType w:val="hybridMultilevel"/>
    <w:lvl w:ilvl="0" w:tplc="36975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75690">
    <w:abstractNumId w:val="95975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685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