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DANCS</w:t>
            </w:r>
          </w:p>
          <w:p w:rsidR="00C275A3" w:rsidRDefault="00A96AEC" w:rsidP="00C275A3">
            <w:pPr>
              <w:pStyle w:val="Hallgatokepzes"/>
            </w:pPr>
            <w:r>
              <w:t>history</w:t>
            </w:r>
            <w:r>
              <w:br/>
            </w:r>
            <w:r w:rsidR="00E77B23">
              <w:t>BA, 7. semester</w:t>
            </w:r>
          </w:p>
          <w:p w:rsidR="00C265CE" w:rsidRPr="009E5FF1" w:rsidRDefault="00E77B23" w:rsidP="00C275A3">
            <w:pPr>
              <w:pStyle w:val="Hallgatokepzes"/>
              <w:rPr>
                <w:b/>
                <w:caps/>
              </w:rPr>
            </w:pPr>
            <w:r>
              <w:t>Ferenc Rákóczi II Transcarpathian Hungarian Institute </w:t>
            </w:r>
            <w:r w:rsidR="00C275A3">
              <w:br/>
            </w:r>
            <w:r w:rsidR="00DB4822">
              <w:t>Arts college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Bocskor</w:t>
            </w:r>
          </w:p>
          <w:p w:rsidR="00DB4822" w:rsidRDefault="00DB4822" w:rsidP="00E11062">
            <w:pPr>
              <w:pStyle w:val="Konzulensek"/>
            </w:pPr>
            <w:r w:rsidRPr="00DB4822">
              <w:t>associate professor, HT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Theoretical and Practical Basics of Cemetery Research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investigation of the history of Transcarpathian territory lacks the appropriate amount of literature, thus its extensive examination does not lose its topicality. Concerning the history of Beregszász, there have been some monographs, historical publications and brochures published during the last century, among which the monograph of Bereg county by Tivadar Lehoczky and the writing titled Sorsfordító évek sodrásában by György Csanádi are the two most important to be mentioned. These works give historical overview of the era and ages of the town, but do not use the important resource that the cemetery’s onomastic research, tombs and symbols could give and show us. Thus the main goal of this study is the profound examination of this resource in order to dig deeper into the history of Beregszász.</w:t>
      </w:r>
    </w:p>
    <w:p>
      <w:pPr>
        <w:widowControl w:val="on"/>
        <w:pBdr/>
        <w:spacing w:before="240" w:after="240" w:line="240" w:lineRule="auto"/>
        <w:ind w:left="0" w:right="0"/>
        <w:jc w:val="left"/>
      </w:pPr>
      <w:r>
        <w:rPr>
          <w:color w:val="000000"/>
          <w:sz w:val="24"/>
          <w:szCs w:val="24"/>
        </w:rPr>
        <w:t xml:space="preserve">The first aim of this work was to investigate on the topic by reviewing the literature of international and Hungarian cemetery research, its methodology, history and types (archaeological and ethnographic), furthermore to create and record an appropriate methodology based on theoretical and practical experience and previous research done in this field. Among the reviewed literature there were the works of József and Tünde Puntingán: A losonci református temető and Géza Gulácsy: A munkácsi régi magyar temető and others.</w:t>
      </w:r>
    </w:p>
    <w:p>
      <w:pPr>
        <w:widowControl w:val="on"/>
        <w:pBdr/>
        <w:spacing w:before="240" w:after="240" w:line="240" w:lineRule="auto"/>
        <w:ind w:left="0" w:right="0"/>
        <w:jc w:val="left"/>
      </w:pPr>
      <w:r>
        <w:rPr>
          <w:color w:val="000000"/>
          <w:sz w:val="24"/>
          <w:szCs w:val="24"/>
        </w:rPr>
        <w:t xml:space="preserve">On the other hand, the second aim was to give characterization of the symbol system, subtitles and language of the tombs.</w:t>
      </w:r>
    </w:p>
    <w:p>
      <w:pPr>
        <w:widowControl w:val="on"/>
        <w:pBdr/>
        <w:spacing w:before="240" w:after="240" w:line="240" w:lineRule="auto"/>
        <w:ind w:left="0" w:right="0"/>
        <w:jc w:val="left"/>
      </w:pPr>
      <w:r>
        <w:rPr>
          <w:color w:val="000000"/>
          <w:sz w:val="24"/>
          <w:szCs w:val="24"/>
        </w:rPr>
        <w:t xml:space="preserve">These goals were successfully completed during the course of this study.</w:t>
      </w:r>
    </w:p>
    <w:p>
      <w:pPr>
        <w:widowControl w:val="on"/>
        <w:pBdr/>
        <w:spacing w:before="240" w:after="240" w:line="240" w:lineRule="auto"/>
        <w:ind w:left="0" w:right="0"/>
        <w:jc w:val="left"/>
      </w:pPr>
      <w:r>
        <w:rPr>
          <w:color w:val="000000"/>
          <w:sz w:val="24"/>
          <w:szCs w:val="24"/>
        </w:rPr>
        <w:t xml:space="preserve">Among the long-term plans we have the purpose to construct the map of the reformed cemetery in Beregszász and the digital measures of its corner points and object, and we would like to make a layout of the rows, parcels, and the number of tombs per row, the notation and analysis of the words, epitaphs and symbols written on the tombs and to make a data base of digital pictures.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70040">
    <w:multiLevelType w:val="hybridMultilevel"/>
    <w:lvl w:ilvl="0" w:tplc="709582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70040">
    <w:abstractNumId w:val="121700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4407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