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TAJTI</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Petrétei</w:t>
            </w:r>
          </w:p>
          <w:p w:rsidR="00DB4822" w:rsidRDefault="00DB4822" w:rsidP="00E11062">
            <w:pPr>
              <w:pStyle w:val="Konzulensek"/>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Social responsibility as the newest limitation of the right to property</w:t>
      </w:r>
    </w:p>
    <w:p w:rsidR="00D71DF5" w:rsidRDefault="00D71DF5" w:rsidP="00AD2602">
      <w:pPr>
        <w:jc w:val="both"/>
      </w:pPr>
    </w:p>
    <w:p>
      <w:pPr>
        <w:pBdr/>
        <w:spacing w:before="240" w:after="240" w:line="240" w:lineRule="auto"/>
        <w:ind w:left="0" w:right="0"/>
        <w:jc w:val="left"/>
      </w:pPr>
      <w:r>
        <w:rPr>
          <w:color w:val="000000"/>
          <w:sz w:val="24"/>
          <w:szCs w:val="24"/>
        </w:rPr>
        <w:t xml:space="preserve">In the process of drafting the new Fundamental Law of Hungary, a significant change has occurred in the wording of the right to property. According to the new formulation of this right, property entails social responsibility. The aim of my paper is to examine, in what extent the aforementioned change of wording affects the level of protection and jurisdiction concerning the right to property. I highlight a possible interpretation of social responsibility, the relationship of the right to property with other provisions of the Fundamental Law – which might have effects on the individual’s right to property –, the definition and implementation of social responsibility and the narrowing of the level of protection, the possibility of the continuous application of the former jurisdiction of the Constitutional Court, finally the effects of the new regulation upon law enforcement.</w:t>
      </w:r>
      <w:r>
        <w:rPr>
          <w:color w:val="000000"/>
          <w:sz w:val="24"/>
          <w:szCs w:val="24"/>
        </w:rPr>
        <w:br/>
        <w:t xml:space="preserve">I have found it essential to present the previous interpretation of the right to property in the jurisdiction as well as its fundamental elements according to the former constitutional regulation and approaches of constitutional law theory. To present my standpoint, it has been inevitable to analyse the constitution of Germany – the Grundgesetz – for the fact that it enshrines very similar commitment principles of the fundamental right to property. Even though, there is a lack of related jurisdiction and source material, I have tried to use the most recent studies connected to the topic that have been available since the Fundamental Law has come into force, and to carefully mark off my personal opinion that differs from the standpoint of other theoretical approaches.</w:t>
      </w:r>
      <w:r>
        <w:rPr>
          <w:color w:val="000000"/>
          <w:sz w:val="24"/>
          <w:szCs w:val="24"/>
        </w:rPr>
        <w:br/>
        <w:t xml:space="preserve">My main conclusion is that social responsibility connected to the fundamental right of property does not necessarily correspond with the previous restrictions of property – namely expropriation. I have stressed that a cautious analysis of the restrictions of the right to property – using the necessity-proportionality test and the public interest test as a basis – is desirable. This is necessary because – taking the recent retrenchment of the Constitutional Court’s competences also into consideration – the institute of social responsibility of property might reduce the right’s protection level, and may shrink the possibility of enforcement of the fundamental right dramatically.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36024">
    <w:multiLevelType w:val="hybridMultilevel"/>
    <w:lvl w:ilvl="0" w:tplc="50992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36024">
    <w:abstractNumId w:val="330360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3649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