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DÁNIEL VIKTOR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tisztességes eljáráshoz való jog érvényesülésének alapjogi és államszervezeti garanciái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tisztességes eljáráshoz való jog érvényesülése alapvetően meghatározza a hatóságok előtt félként megjelenők joghoz való viszonyát. Az egyes eljárási törvények ezért részletesen foglalkoznak a tisztességes eljáráshoz való jog biztosításával. Jelen dolgozat alkotmányjogi nézőpontból kiindulva, de az egyes eljárási szabályok által nyújtott garanciákra tekintettel is próbálja bemutatni a tisztességes eljáráshoz való jog komplex jellegét. A dolgozat vizsgálja a tisztességes eljáráshoz való jog eleminek Alaptörvényben rögzített szabályai mellett az egyes eljárási törvényekben való konkrét megjelenéseit, az Alaptörvényben rögzített követelményeknek való megfelelésüket. A büntető eljárás során adódik a legnagyobb lehetőség a személyek jogainak korlátozására, és ha ez megfelelő garanciák nélkül történik, akkor az a tisztességes eljáráshoz való jog csorbulásához vezet. Ezért kiemelt figyelmet fordít a dolgozat a tisztességes eljáráshoz való jog az Alaptörvényben is rögzített részösszetevőinek büntetőeljárás során történő érvényesülésére. A dolgozat az elemeket a könnyebb tárgyalhatóság végett csoportokba rendezve tárgyalja.</w:t>
      </w:r>
      <w:r>
        <w:rPr>
          <w:color w:val="000000"/>
          <w:sz w:val="24"/>
          <w:szCs w:val="24"/>
        </w:rPr>
        <w:br/>
        <w:t xml:space="preserve">A tisztességes eljáráshoz való jog alapjogi garanciarendszerének egyik csoportját jelentik a szervezeti oldalt érintő elemek. Ezeknek az elemeknek a konkrét, részletszabályokban történő érvényesülése főként nem az egyes eljárási törvényekben lelhetők fel. A dolgozat ezért kiemelten foglalkozik a bíróságok szervezetének szabályozásával, hogy ezek a szervezetet érintő normák mennyire és milyen irányban befolyásolhatják a tisztességes eljáráshoz való jog érvényesülését. A tisztességes eljáráshoz való jogra a legnagyobb kihatással van a bíróságok igazgatásának szabályozása, ezért a szervezeti szabályok vizsgálatának centrumát jelentik.</w:t>
      </w:r>
      <w:r>
        <w:rPr>
          <w:color w:val="000000"/>
          <w:sz w:val="24"/>
          <w:szCs w:val="24"/>
        </w:rPr>
        <w:br/>
        <w:t xml:space="preserve">Különösen nagy figyelmet érdemel az a tény, hogy mind Magyarország jogforrási hierarchiájának csúcsán lévő dokumentum, mind a bíróságot érintő törvények az utóbbi időben megváltoztak. Így természetesen magától értetődő volt az, hogy a dolgozat a két állapot közötti különbségeket felvázolja. Ugyanakkor az előbb felhozott tény adja a témakör aktualitását is, kiemelve azt, hogy az Európai Unión belül működő alkotmányjogászokból álló bizottság is folyamatosan szem előtt tartja a tisztességes eljáráshoz való új szervezeti közegben történő érvénysülését.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42908">
    <w:multiLevelType w:val="hybridMultilevel"/>
    <w:lvl w:ilvl="0" w:tplc="29463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42908">
    <w:abstractNumId w:val="28042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37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