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SPIEGLER</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 Kocsis</w:t>
            </w:r>
          </w:p>
          <w:p w:rsidR="00DB4822" w:rsidRDefault="00DB4822" w:rsidP="00E11062">
            <w:pPr>
              <w:pStyle w:val="Konzulensek"/>
            </w:pPr>
            <w:r w:rsidRPr="00DB4822">
              <w:t>assistant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General and special aspects of medical fundamental rights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scope of my paper is to study subject groups of a special area of social security, from a constitutional law perspective. It is self-evident that fundamental rights declared in the Fundamental Law of Hungary have to prevail in daily life; in this context, however, a critical part of the insurance-type social care – that are the medical institutions – creates an individual situation.</w:t>
      </w:r>
      <w:r>
        <w:rPr>
          <w:color w:val="000000"/>
          <w:sz w:val="24"/>
          <w:szCs w:val="24"/>
        </w:rPr>
        <w:br/>
        <w:t xml:space="preserve">In my paper I give an overview on fundamental rights and obligations present in medical services, their general and special form and the means and ways of their enforceability.</w:t>
      </w:r>
      <w:r>
        <w:rPr>
          <w:color w:val="000000"/>
          <w:sz w:val="24"/>
          <w:szCs w:val="24"/>
        </w:rPr>
        <w:br/>
        <w:t xml:space="preserve">I use systematically the expression of ‘medical fundamental rights’ on purpose, even though in the legal literature the use of expressions of ‘medical law’, ‘health law’ and ‘patient rights’ have been spread. My reason for this is the complexity of the studied field of law.</w:t>
      </w:r>
    </w:p>
    <w:p>
      <w:pPr>
        <w:pBdr/>
        <w:spacing w:before="240" w:after="240" w:line="240" w:lineRule="auto"/>
        <w:ind w:left="0" w:right="0"/>
        <w:jc w:val="left"/>
      </w:pPr>
      <w:r>
        <w:rPr>
          <w:color w:val="000000"/>
          <w:sz w:val="24"/>
          <w:szCs w:val="24"/>
        </w:rPr>
        <w:t xml:space="preserve">I apply the ‘medical fundamental rights’ terminus tecnicus for the rights which are denominated in a general manner by the Fundamental Law but regulated much more detailed by lower sources of laws.</w:t>
      </w:r>
    </w:p>
    <w:p>
      <w:pPr>
        <w:pBdr/>
        <w:spacing w:before="240" w:after="240" w:line="240" w:lineRule="auto"/>
        <w:ind w:left="0" w:right="0"/>
        <w:jc w:val="left"/>
      </w:pPr>
      <w:r>
        <w:rPr>
          <w:color w:val="000000"/>
          <w:sz w:val="24"/>
          <w:szCs w:val="24"/>
        </w:rPr>
        <w:t xml:space="preserve">In my work I make a difference between fundamental rights which anyone (e.g., patients, doctors, other workers of the medical institutions) entitled to from the rights which only special-status subjects are entitled to. As a research result it can be established that most of the medical fundamental rights can be realized by everyone; sometimes, however these rights relating to the non-regular status subjects prevail in different ways.</w:t>
      </w:r>
    </w:p>
    <w:p>
      <w:pPr>
        <w:pBdr/>
        <w:spacing w:before="240" w:after="240" w:line="240" w:lineRule="auto"/>
        <w:ind w:left="0" w:right="0"/>
        <w:jc w:val="left"/>
      </w:pPr>
      <w:r>
        <w:rPr>
          <w:color w:val="000000"/>
          <w:sz w:val="24"/>
          <w:szCs w:val="24"/>
        </w:rPr>
        <w:t xml:space="preserve">My purpose is to indicate the key elements of the researched issue, through the regulatory system and the concerning practical examples, which can induce everyday problems and I intend to determine the methods of possible solutions.</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160445">
    <w:multiLevelType w:val="hybridMultilevel"/>
    <w:lvl w:ilvl="0" w:tplc="267167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160445">
    <w:abstractNumId w:val="391604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67238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