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ELEONÓRA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Chronowski Nóra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Új horizontok az Alaptörvényben, avagy hogyan befolyásolja a horizontális hatály az alapjogvédelmi határokat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kísérletet tettem arra, hogy új alkotmányunk alapján, megközelítsem az alapvető jogok horizontális hatályának problematikáját. Munkámban – az Alaptörvényben rejlő lehetőségek érzékeltetése előtt – dogmatikai megalapozásként igyekeztem összefoglalni a Drittwirkung-elméletek főbb téziseit, a horizontális hatály alapjogvédelmi szempontú elemzésére fókuszálva. E körben elsősorban a magyar megközelítés vázolására törekedtem, hasznosítva a német és egyes esetekben a francia jogtudomány eredményeit is. A szakirodalom elemzése alapján levonható, hogy az alapjogok közvetett horizontális hatálya tekintetében konszenzus alakult ki, azonban korántsem ennyire elfogadott a közvetlen Drittwirkung. E megközelítést azonban az új Alaptörvény kontextusában véleményem szerint tovább lehetne fejleszteni egy hatékonyabb jogvédelmi rendszer érdekében. Ehhez az összetett problémához három irányból közelítettem. Az első processzuális, a második anyagi alkotmányjogi, a harmadik alkotmányfilozófiai területre vitt. Konkrétabban fogalmazva, az alapjogok horizontális hatályának erősödését egyrészt az ún. valódi alkotmányjogi panasz intézményétől, másrészt a munka világához tartozó és a szociális alapjogok terén, harmadrészt az Alaptörvényben körvonalazódó ’emberképtől’ várom.</w:t>
      </w:r>
      <w:r>
        <w:rPr>
          <w:color w:val="000000"/>
          <w:sz w:val="24"/>
          <w:szCs w:val="24"/>
        </w:rPr>
        <w:br/>
        <w:t xml:space="preserve">Úgy vélem, hogy a tényleges/valódi alkotmányjogi panasz megjelenése megnyithat egy olyan új típusú ’kaput’, mely engedi a horizontális hatály térnyerését, így magánjogi viszonyokba is beszivároghat az alapjogok bizonyos fokú ’számonkérhetősége’. Parttalannak tartanám viszont ezt a kijelentést általánosságban, az egész magánjogra nézve. A munka világában és a szociális biztonság szférájában az alapjogok kihatásának létjogosultsága lehet, különösen arra tekintettel, hogy az Alaptörvény egyes rendelkezései e területen szakítanak a korábbi, alapjogi védelemre orientált alkotmányos gyakorlattal. Ebből a szempontból lényeges, hogy a jogvédő szervek a hangsúlyt az Alaptörvény individuális, avagy kollektivista – paternalista elemeire helyezik-e, mivel a szabályozásból mindkét attitűd kiolvasható. Az alapjogi szemlélet erősítése feltételezi az alkotmány közvetlen alkalmazását a magánjogi viszonyokban, addig a határig, amíg nem zavarja a magánautonómia alkotmányosan védett körét. Ez lehet a módja annak, hogy mindenki az alkotmány által biztosított teljes alapjogi védelmet élvezhessen.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20217">
    <w:multiLevelType w:val="hybridMultilevel"/>
    <w:lvl w:ilvl="0" w:tplc="22087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20217">
    <w:abstractNumId w:val="20620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12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