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ELEONÓRA LÁSZLÓ</w:t>
            </w:r>
          </w:p>
          <w:p w:rsidR="00C275A3" w:rsidRDefault="00A96AEC" w:rsidP="00C275A3">
            <w:pPr>
              <w:pStyle w:val="Hallgatokepzes"/>
            </w:pPr>
            <w:r>
              <w:t>lawyer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Nóra Chronowski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horizons in the Fundamental Law – or how does the horizontal effects influence the boundaries of fundamental rights protection?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have made attempt to approach the horizontal effects of fundamental rights according to our new Fundamental Law. In my work I tried to summarise the main points of the Drittwirkung-theories while focusing on analysing the horizontal effect on the basis of fundamental rights protection point of view. First of all, I intended to highlight the Hungarian approach implementing however the results of German and French jurisprudence as well. After analysing the bibliography, I reached the conclusion that there is a consensus among the indirect effects of the human rights, but the direct Drittwirkung is far from accepted. In my opinion, this dogmatic approach could be improved in the context of the new Constitution in order to have a more efficient fundamental rights protection system. I approached this complex problem from three ways. The first one is procedural, the second one is substantive constitutional law, and third one is constitution-philosophical approach. To be more precise, I expected the crescendo of the horizontal effect firstly from the so called real constitutional complaint, secondly from so called solidarity rights, thirdly from the “human image” outlined in the Constitution.</w:t>
      </w:r>
      <w:r>
        <w:rPr>
          <w:color w:val="000000"/>
          <w:sz w:val="24"/>
          <w:szCs w:val="24"/>
        </w:rPr>
        <w:br/>
        <w:t xml:space="preserve">I think that the appearance of real constitutional complaints could open a new kind of “gate” which allows the headway of the horizontal effect, this way the fundamental rights will be scored in the common law, within limits of course. I would find it shoreless to state this for the whole private law. In the world of work and social security, however, the fundamental rights are essential, especially because the new Constitution applies a different approach on this field. In this point of view, it is very important whether the safeguarding organs – such as the ombudsman or the Constitutional Court – interpret the Fundamental Law individual or collectivist-paternalistic way, because the regulation implies both attitudes. The reinforcement of the fundamental right approach assumes the direct application of the Constitution in common law as long as it does not interfere with the self-autonomy, which is protected constitutionally. This way everyone can benefit from a full fundamental rights protection provided by the Constitution (Fundamental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25450">
    <w:multiLevelType w:val="hybridMultilevel"/>
    <w:lvl w:ilvl="0" w:tplc="58585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25450">
    <w:abstractNumId w:val="12525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776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