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KALO BIANKA GYÖRGYI</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Tilk Péter</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Alaptörvény helyi önkormányzatokat érintő főbb rendelkezéseinek értékelése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kísérletet tettem a Magyar Köztársaság Alkotmányának, illetve a 2012. január 1-jétől hatályos Magyarország Alaptörvényének helyi önkormányzatokat érintő rendelkezéseinek összehasonlítására, elemzésére. Vizsgálódásom során igyekeztem főként az alkotmányi, illetve alaptörvényi előírásokra szorítkozni, de ahol szükséges volt, ott a törvényi rendelkezéseket is belefoglaltam dolgozatomba.</w:t>
      </w:r>
      <w:r>
        <w:rPr>
          <w:color w:val="000000"/>
          <w:sz w:val="24"/>
          <w:szCs w:val="24"/>
        </w:rPr>
        <w:br/>
        <w:t xml:space="preserve">A rendelkezések áttekintését követően láthatjuk, hogy az Alaptörvényben számos helyen az Alkotmány helyi önkormányzatokkal kapcsolatos rendelkezései tükröződnek vissza, de emellett lényeges átalakításokat, újításokat is eszközölt az új alapnorma.</w:t>
      </w:r>
      <w:r>
        <w:rPr>
          <w:color w:val="000000"/>
          <w:sz w:val="24"/>
          <w:szCs w:val="24"/>
        </w:rPr>
        <w:br/>
        <w:t xml:space="preserve">Az átalakítások körében véleményem szerint az egyik legfontosabb változás az önkormányzatok feletti törvényességi ellenőrzés felügyeletté válása, mely egy közvetlenebb beavatkozási lehetőséget biztosít az állam részére. Ennek egyik legfőbb eszköze az újonnan bevezetett, a kormányhivatalok vezetőit megillető rendeletpótlási jog.</w:t>
      </w:r>
      <w:r>
        <w:rPr>
          <w:color w:val="000000"/>
          <w:sz w:val="24"/>
          <w:szCs w:val="24"/>
        </w:rPr>
        <w:br/>
        <w:t xml:space="preserve">Az önkormányzatok gazdálkodása is jelentősen átalakult az új szabályozás következtében. Ennek során az önkormányzat vagyona a nemzeti vagyon egyik összetevőjévé vált, illetve bevezetésre került a feladatalapú támogatási rendszer, melynek következtében a támogatások sokkal kötöttebb, korlátozottabb felhasználási lehetősége jelent meg. További, a gazdálkodást érintő korlátozás képe jelenik meg az önkormányzatok hitelfelvételével, kötelezettségvállalásával kapcsolatos Kormány általi hozzájáruláshoz, feltételhez kötéssel.</w:t>
      </w:r>
      <w:r>
        <w:rPr>
          <w:color w:val="000000"/>
          <w:sz w:val="24"/>
          <w:szCs w:val="24"/>
        </w:rPr>
        <w:br/>
        <w:t xml:space="preserve">Az Alaptörvényben tett pontosítások, illetve az említett változások sok esetben valóban szükségesek voltak, azonban e szabályok által meglehetősen szűkült az önkormányzati autonómia, továbbá számos kérdés tekintetében felmerült néhány problematikus kérdés, melyek rendezésére nem került sor, és amelyeknél még kiforratlan a gyakorlat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71895">
    <w:multiLevelType w:val="hybridMultilevel"/>
    <w:lvl w:ilvl="0" w:tplc="24543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71895">
    <w:abstractNumId w:val="52871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753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