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GYÖRGYI KALO</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Tilk</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the main regulations of the Fundamental Law of Hungary concerning local governments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have made an attempt to compare and contrast the Constitution of the Republic of Hungary (hereinafter: Constitution) with the new Fundamental Law of Hungary (hereinafter: Fundamental Law), which is in effect since January 1 2012, from the point of view of the regulations concerning local governments, and also to analyse them. During my research I tried to confine myself to the constitutional regulations only, however, when it was necessary, legal regulations of the same topic were also included.</w:t>
      </w:r>
      <w:r>
        <w:rPr>
          <w:color w:val="000000"/>
          <w:sz w:val="24"/>
          <w:szCs w:val="24"/>
        </w:rPr>
        <w:br/>
        <w:t xml:space="preserve">After reviewing the regulations mentioned, it can be seen that on many occasions, they had not been changed in the new Fundamental Law, however there is a significant innovation with important changes in the Fundamental Law.</w:t>
      </w:r>
      <w:r>
        <w:rPr>
          <w:color w:val="000000"/>
          <w:sz w:val="24"/>
          <w:szCs w:val="24"/>
        </w:rPr>
        <w:br/>
        <w:t xml:space="preserve">Regarding the modifications, in my opinion, one of the most important changes is the transformation of the legal control on the local governments to legal supervision, which grants a more regular and stronger intervention for the state. One of its main tools is the newly introduced regulation replacement right of the leaders of the government offices.</w:t>
      </w:r>
      <w:r>
        <w:rPr>
          <w:color w:val="000000"/>
          <w:sz w:val="24"/>
          <w:szCs w:val="24"/>
        </w:rPr>
        <w:br/>
        <w:t xml:space="preserve">The management of the local governments also has changed considerably due to the new constitutional regulation. In this process, the assets of the local governments became one of the components of the national asset whereupon the project-based support system has been introduced, which caused that the usage of the grants also became more bounded and limited. Another modification which restricts the management is the fact that there might be conditions and the approval of the government also might be required for the local governments to take up a loan or to undertake obligations.</w:t>
      </w:r>
      <w:r>
        <w:rPr>
          <w:color w:val="000000"/>
          <w:sz w:val="24"/>
          <w:szCs w:val="24"/>
        </w:rPr>
        <w:br/>
        <w:t xml:space="preserve">The clarifications made in the Fundamental Law and the before mentioned modifications in many cases were truly necessary, but owing to these rules, the local governmental autonomy has narrowed, and some problematic questions arised regarding several questions and the settlement of these has not been solved yet, the practice is still immature.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32698">
    <w:multiLevelType w:val="hybridMultilevel"/>
    <w:lvl w:ilvl="0" w:tplc="73722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32698">
    <w:abstractNumId w:val="889326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07979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