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Bence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Összeütköző érdekek – a titokvédelem a magyar büntető eljárásjogban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jogelmélet és a gyakorlat számára is érdekes és fontos kérdések merülhetnek fel, amikor társadalmilag fontos és jogilag is védett érdekek ütköznek egymással. A pontos történeti tényállás, az igazság feltárása, a ténymegállapítás, mint a büntetőeljárás egyik jellegadó tényezője is így kerül szembe a jogilag releváns titok védelmével. E két jelenség összeütközése azonban nem csupán érdekek, de értékek versengését is jelenti, ugyanis mind a büntető igazságszolgáltatás, mind a titokvédelem értékhordozó kategóriának tekinthető.</w:t>
      </w:r>
      <w:r>
        <w:rPr>
          <w:color w:val="000000"/>
          <w:sz w:val="24"/>
          <w:szCs w:val="24"/>
        </w:rPr>
        <w:br/>
        <w:t xml:space="preserve">A jog társadalmi jelentősége ma már aligha kérdőjelezhető meg, de a titok is kiemelkedő szerepet játszik a különböző társadalmi alrendszerekben. Ahogy azonban Földesi Tamás is hangsúlyozza, a titok problematikája „nemcsak fontos és aktuális, hanem számos megoldatlan kérdést rejt magában”.</w:t>
      </w:r>
      <w:r>
        <w:rPr>
          <w:color w:val="000000"/>
          <w:sz w:val="24"/>
          <w:szCs w:val="24"/>
        </w:rPr>
        <w:br/>
        <w:t xml:space="preserve">A dolgozat célja elsősorban nem az egyes titokfajták tartalmának pontos körülhatárolása. Ehelyett a büntető igazságszolgáltatás és a titokvédelem által hordozott értékek, érdekek összeütközését, a jelenleg hatályos eljárási törvényünk által az ilyetén kollízió kérdésére adott választ (válaszokat), illetve a jogi szabályozás esetleges hiányosságait és ezek orvosolásának lehetőségét kívánom vizsgálni.</w:t>
      </w:r>
      <w:r>
        <w:rPr>
          <w:color w:val="000000"/>
          <w:sz w:val="24"/>
          <w:szCs w:val="24"/>
        </w:rPr>
        <w:br/>
        <w:t xml:space="preserve">Minthogy az elemzett kérdés szabályozása fragmentált és helyenként hiányos, az a jogalkotó részéről mielőbb átgondolásra szorul. A legsürgetőbb feladat e téren a pontos, egymástól elhatárolható titokfogalmak megalkotása. Ez után kerülhet sor a Be. egyes titokvédelmi vonatkozású szabályainak átalakítására. Az elsődleges cél, a koherens titokvédelmi rendszer kiépítése, mellett olyan rendelkezések megalkotása is szükséges, amelyek biztosítják, hogy ez a rendszer ne legyen megkerülhető (például a hallomástanúk vallomásával). A jogszabályalkotás során továbbá figyelemmel kell lenni a precíz, egyértelmű és következetes fogalomhasználatra is. Egy esetleges új szabályozás tekintetében több koncepció elképzelhető, és nem szabad elzárkózni egy esetleges átfogó titokkódex ötletének szakmai-tudományos megvitatásától.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34485">
    <w:multiLevelType w:val="hybridMultilevel"/>
    <w:lvl w:ilvl="0" w:tplc="20505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34485">
    <w:abstractNumId w:val="91434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582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