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MESTER MARTINA EMESE</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Mészáros Bence</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Laikus elemek szerepe a büntető igazságszolgáltatásban</w:t>
      </w:r>
    </w:p>
    <w:p w:rsidR="00D71DF5" w:rsidRDefault="00D71DF5" w:rsidP="00AD2602">
      <w:pPr>
        <w:jc w:val="both"/>
      </w:pPr>
    </w:p>
    <w:p>
      <w:pPr>
        <w:pBdr/>
        <w:spacing w:before="240" w:after="240" w:line="240" w:lineRule="auto"/>
        <w:ind w:left="0" w:right="0"/>
        <w:jc w:val="left"/>
      </w:pPr>
      <w:r>
        <w:rPr>
          <w:color w:val="000000"/>
          <w:sz w:val="24"/>
          <w:szCs w:val="24"/>
        </w:rPr>
        <w:t xml:space="preserve">Az igazságszolgáltatás mindig sarkalatos pontját képezi egy adott állam jogrendszerének. A bíróságok, valamint azok jogalkalmazó tevékenysége sok ember életére vannak hatással. Ezáltal felmerül a kérdés, hogy laikusok hogy vehetnék részt ebben a folyamatban. Látszólag ez a probléma messze esik a társadalom érdeklődésétől, azonban vizsgálata nem elhanyagolható. A laikus elemek részvétele már viszonylag korán megjelent a történelemben, és alapvetően két formája alakult ki. Az egyik a főként common law jogrendszerben alkalmazott esküdtszék, a másik pedig a hazánkban is lévő ülnökrendszer.</w:t>
      </w:r>
      <w:r>
        <w:rPr>
          <w:color w:val="000000"/>
          <w:sz w:val="24"/>
          <w:szCs w:val="24"/>
        </w:rPr>
        <w:br/>
        <w:t xml:space="preserve">Az ülnökökkel kapcsolatos információink azonban a legkevésbé sem kielégítőek. Jelenlegi ismereteinket a bírói rendszerre vonatkozó jogszabályokból, valamint az Alaptörvényből szerezhetjük meg, de a tényleges működésüket homály fedi. Mivel a bírói tevékenység a jogi és kritikai vizsgálódások egyik központi kérdését képezi, nem lenne elhanyagolható az ülnökök – mint nem hivatásos bírák – tevékenysége sem. Felmerülnek tehát olyan kérdések, hogy ezek a személyek milyen társadalmi rétegekből kerülnek ki, és hogyan képesek a társadalmat reprezentálni, valamint részvételüket tekintve, hogyan hatnak közre a bírói döntés meghozatalában a tanácskozás során.</w:t>
      </w:r>
      <w:r>
        <w:rPr>
          <w:color w:val="000000"/>
          <w:sz w:val="24"/>
          <w:szCs w:val="24"/>
        </w:rPr>
        <w:br/>
        <w:t xml:space="preserve">Jelenleg hazánkban a hatályos szabályozás elsősorban költséget okoz az igazságszolgáltatásnak, amelyhez tényleges szolgáltatás nem párosul. Az igazságszolgáltatás lényege egy mindenki számára megfelelő ítélet kialakítása lenne, amelyben nem hivatásos bírák is részt vesznek. Ez a részvétel viszont ilyen formában nem elképzelhető. Arra, hogy milyen szabályozással lehetne megoldást találni erre a helyzetre, számtalan lehetőség létezik. Megtalálni ezek közül a megfelelőt; a rendszer megszüntetését, átalakítását vagy egy teljesen új rendszer kialakítását jelentős változtatások árán lehetne, és ezek kimenetele is bizonytalanságot hordozna magával. Annak ellenére, hogy ránézésre nem egy jelentős és érdekes szegmense az igazságszolgáltatásnak az ülnöki rendszer, mégis megannyi problémát hordoz magával.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10483">
    <w:multiLevelType w:val="hybridMultilevel"/>
    <w:lvl w:ilvl="0" w:tplc="69423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10483">
    <w:abstractNumId w:val="60210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618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