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NAGY-BORSY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Márton</w:t>
            </w:r>
          </w:p>
          <w:p w:rsidR="00DB4822" w:rsidRDefault="00DB4822" w:rsidP="00E11062">
            <w:pPr>
              <w:pStyle w:val="Konzulensek"/>
            </w:pPr>
            <w:r w:rsidRPr="00DB4822">
              <w:t>professor’s assistant,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the organic viticulture and wine making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examines the regulation of the organic viticulture and wine making in Hungary including the concerning current EU and international regulations and rules.</w:t>
      </w:r>
      <w:r>
        <w:rPr>
          <w:color w:val="000000"/>
          <w:sz w:val="24"/>
          <w:szCs w:val="24"/>
        </w:rPr>
        <w:br/>
        <w:t xml:space="preserve">The organic viticulture is a production method - which actually means returning to old methods and traditions - in response for the impact of chemicals and large-scale production damaging effects on the agriculture so thus on viticulture too. The goal of this method is to facilitate the crop’s natural biopotential in a way it creates adequate environmental conditions.</w:t>
      </w:r>
      <w:r>
        <w:rPr>
          <w:color w:val="000000"/>
          <w:sz w:val="24"/>
          <w:szCs w:val="24"/>
        </w:rPr>
        <w:br/>
        <w:t xml:space="preserve">One way for the regulation of the organic viticulture (and organic production in general) is the development of a technological system based on IFOAM rules and EU decrees. This system contains all the rules and conditions that must be observed through the process of viticulture for the final product- the wine - can obtain the “organic” qualification (or the label used by the corresponding country). The controlling and qualifying is done by an organization created for this purpose. As a result of a multi-stage procession in regulations Hungary follows the same practice.</w:t>
      </w:r>
      <w:r>
        <w:rPr>
          <w:color w:val="000000"/>
          <w:sz w:val="24"/>
          <w:szCs w:val="24"/>
        </w:rPr>
        <w:br/>
        <w:t xml:space="preserve">The purpose of the regulations of organic viticulture is to present a stricter set of requirements for producers who want to obtain the “organic” qualification and use it to label their product.</w:t>
      </w:r>
      <w:r>
        <w:rPr>
          <w:color w:val="000000"/>
          <w:sz w:val="24"/>
          <w:szCs w:val="24"/>
        </w:rPr>
        <w:br/>
        <w:t xml:space="preserve">The other section of my dissertation concerns the rules of organic wine production and processing. The applicable procedures are exactly defined as well as the substances which can contact the product, and the additives that can be used.</w:t>
      </w:r>
      <w:r>
        <w:rPr>
          <w:color w:val="000000"/>
          <w:sz w:val="24"/>
          <w:szCs w:val="24"/>
        </w:rPr>
        <w:br/>
        <w:t xml:space="preserve">In the last part of my dissertation I try to examine the effect of these regulations through a Hungarian and a foreign example. It proves that after initial difficulties organic viticulture and wine making can be really successful in Hungary. The foreign example can be a guideline for the Hungarian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24209">
    <w:multiLevelType w:val="hybridMultilevel"/>
    <w:lvl w:ilvl="0" w:tplc="40465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24209">
    <w:abstractNumId w:val="907242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071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