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EVELIN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Nochta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Szőke Ákos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osztályvezető, NAV,  Nemzeti Adó- és Vámhivatal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 felel a végén? A tagi felelősség korlátoltsága a jogi személy gazdasági társaságok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jogi személy gazdasági társaságok esetében alkalmazható felelősség-áttörés. Kiindulópontom a jogi személy tagoktól elkülönült önálló jogalanyisága és tagjai bizonyos esetekben történő felelősségre vonásának szükségessége közti ellentétet volt. Azokat az eseteket vizsgáltam, amikor egy korlátolt tagi felelősségű társaság tagjai e korlátozott felelősségükkel, a társaság elkülönült jogalanyiságával olyan mértékben visszaélnek, hogy a jogi személy tagok személyétől elkülönült, önálló jogalanyiságát és felelősségét figyelmen kívül kell hagyni. A korlátolt felelősség különösen jelentős jogintézmény, alapja lehet egy vállalkozási tevékenység adott társasági formában történő megkezdésének szintúgy, mint az e felelősségi alakzattal való visszaélések sokaságának. Arra próbálom felhívni a figyelmet, hogy a korlátolt felelősség, valamint a jogi személyiség létjogosultságának alapja korántsem az ezzel visszaélni kívánó, csalárd magatartásokat megvalósító személyek cselekedeteihez jogszerű álca biztosítása.</w:t>
      </w:r>
      <w:r>
        <w:rPr>
          <w:color w:val="000000"/>
          <w:sz w:val="24"/>
          <w:szCs w:val="24"/>
        </w:rPr>
        <w:br/>
        <w:t xml:space="preserve">Elsőként a hitelezővédelmi okokból történő felelősség-áttörés eseteit mutatom be; hogy milyen magatartásokban nyilvánul meg a korlátolt felelősséggel való visszaélés. E pontban hangsúlyozom, hogy a felelősségátvitel nem mögöttes jellegű, hanem sui generis deliktuális kártérítési kötelezettség. Szabályozásunk legfőbb hibájának a felelősségátvitel megállapításának a társaság megszűnéséhez való kötését tartom; e kérdés körében a Szegedi Ítélőtábla ajánlását részletezem.</w:t>
      </w:r>
      <w:r>
        <w:rPr>
          <w:color w:val="000000"/>
          <w:sz w:val="24"/>
          <w:szCs w:val="24"/>
        </w:rPr>
        <w:br/>
        <w:t xml:space="preserve">Második témakör a társaságba bevitt apportért való felelősség, amit megközelítek az apportot szolgáltató és azt adott értéken elfogadó tagok felelősségének oldaláról. Itt is számba veszem a szabályozás visszásságait, ezek közül az apport felülértékelésével kapcsolatos büntetőjogi tényállás hatályon kívül helyezését emelem ki.</w:t>
      </w:r>
      <w:r>
        <w:rPr>
          <w:color w:val="000000"/>
          <w:sz w:val="24"/>
          <w:szCs w:val="24"/>
        </w:rPr>
        <w:br/>
        <w:t xml:space="preserve">Ezt követően a konszern alapján megvalósuló felelősség-áttörést, a tartósan hátrányos üzletpolitika megvalósulásának kritériumait vizsgálom.</w:t>
      </w:r>
      <w:r>
        <w:rPr>
          <w:color w:val="000000"/>
          <w:sz w:val="24"/>
          <w:szCs w:val="24"/>
        </w:rPr>
        <w:br/>
        <w:t xml:space="preserve">Külön pontban elemzem a felszámolási eljárásban megvalósuló felelősségátvitelt, a megállapítási–és marasztalási pert.</w:t>
      </w:r>
      <w:r>
        <w:rPr>
          <w:color w:val="000000"/>
          <w:sz w:val="24"/>
          <w:szCs w:val="24"/>
        </w:rPr>
        <w:br/>
        <w:t xml:space="preserve">A dolgozat utolsó szerkezeti egységében az amerikai lepelátszúrás doktrínáját mutatom be, követendő példaként arra, hogy milyen irányban lenne szükséges lépni jogalkotásunknak ahhoz, hogy a felelősség-áttörés megvalósítsa a célt, amiért életre hívták, ne tartalmában kiüresedett jogintézmény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48439">
    <w:multiLevelType w:val="hybridMultilevel"/>
    <w:lvl w:ilvl="0" w:tplc="76639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48439">
    <w:abstractNumId w:val="256484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034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