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KISS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Nochta</w:t>
            </w:r>
          </w:p>
          <w:p w:rsidR="00DB4822" w:rsidRDefault="00DB4822" w:rsidP="00E11062">
            <w:pPr>
              <w:pStyle w:val="Konzulensek"/>
            </w:pPr>
            <w:r w:rsidRPr="00DB4822">
              <w:t>associate professor, PTE ÁJK</w:t>
            </w:r>
          </w:p>
        </w:tc>
      </w:tr>
      <w:tr w:rsidR="00DB4822" w:rsidTr="00DB4822">
        <w:tc>
          <w:tcPr>
            <w:tcW w:w="9854" w:type="dxa"/>
          </w:tcPr>
          <w:p w:rsidR="00DB4822" w:rsidRPr="00DB4822" w:rsidRDefault="00DB4822" w:rsidP="004D7940">
            <w:pPr>
              <w:pStyle w:val="Konzulensek"/>
            </w:pPr>
            <w:r w:rsidRPr="00DB4822">
              <w:t>Dr. Ákos Szőke</w:t>
            </w:r>
          </w:p>
          <w:p w:rsidR="00DB4822" w:rsidRDefault="00DB4822" w:rsidP="00E11062">
            <w:pPr>
              <w:pStyle w:val="Konzulensek"/>
            </w:pPr>
            <w:r w:rsidRPr="00DB4822">
              <w:t>Head of Department,  National Tax and Customs Administration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is the liable in the end? The limitation of member’s liability in case of business associations with legal personality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topic is the transfer of liability in the case of business associations with legal personality.</w:t>
      </w:r>
      <w:r>
        <w:rPr>
          <w:color w:val="000000"/>
          <w:sz w:val="24"/>
          <w:szCs w:val="24"/>
        </w:rPr>
        <w:br/>
        <w:t xml:space="preserve">My starting point is the conflict between a legal person’s legal subjectivity separate from its members and the need for the incidental accountability of its members. I study cases where the members and the executive officers of a business association with legal personality abuse their limited liability and the corporation’s own legal subjectivity so much that the legal person’s own legal subjectivity which is separate from its members must be disregarded. Limited liability is a very significant legal institution; it can be the basis of starting business activities in a particular form and also of a range of instances of its abuse. The reason for the existence of limited liability and legal personality is not to cover dishonest, malicious conduct.</w:t>
      </w:r>
      <w:r>
        <w:rPr>
          <w:color w:val="000000"/>
          <w:sz w:val="24"/>
          <w:szCs w:val="24"/>
        </w:rPr>
        <w:br/>
        <w:t xml:space="preserve">First, I describe the cases of transfer of liability in order to protect the creditor; the instances of conduct in which the abuse of limited liability and insular legal personality appear. In this part I emphasize, that the transfer of liability is not secondary, but an independent, criminal liability for damages. The most defective rule of our legal regulation is that it restricts the transfer of liability to the cases when the corporation is declared dissolved. I describe one recommendation made by the Regional Court of Appeal of Szeged.</w:t>
      </w:r>
      <w:r>
        <w:rPr>
          <w:color w:val="000000"/>
          <w:sz w:val="24"/>
          <w:szCs w:val="24"/>
        </w:rPr>
        <w:br/>
        <w:t xml:space="preserve">My second topic is the liability for the value of contribution-in-kind, which I approach from two aspects: from the liability of the member who provided the contribution-in-kind; and from the liability of the members who accept the contribution-in-kind at a certain price. Here I also take the deficiencies of the regulation into consideration, especially the abolishment of the offence in connection with the overvaluation of contribution-in-kind.</w:t>
      </w:r>
      <w:r>
        <w:rPr>
          <w:color w:val="000000"/>
          <w:sz w:val="24"/>
          <w:szCs w:val="24"/>
        </w:rPr>
        <w:br/>
        <w:t xml:space="preserve">Then I examine the transfer of liability based on rules of intercompany operations, the criteria of having a tendency of making poor business decisions.</w:t>
      </w:r>
      <w:r>
        <w:rPr>
          <w:color w:val="000000"/>
          <w:sz w:val="24"/>
          <w:szCs w:val="24"/>
        </w:rPr>
        <w:br/>
        <w:t xml:space="preserve">I analyze the transfer of liability in liquidation, the essence of actions for establishment and condemnation.</w:t>
      </w:r>
      <w:r>
        <w:rPr>
          <w:color w:val="000000"/>
          <w:sz w:val="24"/>
          <w:szCs w:val="24"/>
        </w:rPr>
        <w:br/>
        <w:t xml:space="preserve">In the final part I introduce a similar rule in the US, the doctrine of piercing the veil, as an example for our legislation to follow to make the transfer of liability achieve the goal it was instituted for and not to let it become an empty rule.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87905">
    <w:multiLevelType w:val="hybridMultilevel"/>
    <w:lvl w:ilvl="0" w:tplc="51001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87905">
    <w:abstractNumId w:val="80287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563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