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JÚLIA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Mohay Ágoston</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Európai jogvédelem új utakon. Az Emberi Jogok Európai Bíróságának reformja és az Európai Unió csatlakozása az Emberi Jogok Európai Egyezményéhez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emberi jogokat érintő általános, univerzális bevezető, rövid nemzetközi kitekintés után az alapjogvédelem európai dimenzióira koncentrálok. Először is külön kitérek az Emberi Jogok Európai Egyezménye, ehhez szervesen kapcsolódóan pedig az Emberi Jogok Európai Bíróságának keretein belül megvalósuló eljárásokra, és ismertetem a legutóbbi változásokat, reformelképzeléseket. Ezután az Európai Unió által kínált fontosabb alapjogi lehetőségeket veszem számba.</w:t>
      </w:r>
      <w:r>
        <w:rPr>
          <w:color w:val="000000"/>
          <w:sz w:val="24"/>
          <w:szCs w:val="24"/>
        </w:rPr>
        <w:br/>
        <w:t xml:space="preserve">Ezt követően a két intézmény közötti kapcsolatokat mutatom be, a már a múltban felmerült kérdések, bírói döntések segítségével. Ismertetem az Európai Uniónak az Emberi Jogok Európai Egyezményéhez történő csatlakozásának szükségességét, az ezen csatlakozási eljárásra vonatkozó szabályozást, és az eddig megtett lépéseket. Igyekszem feltárni az ezzel kapcsolatban felmerült intézményi, anyagi jogi, és eljárásjogi kérdéseket, és az ezen kérdésekre a szerződéstervezetből kiolvasható, kikövetkeztethető válaszokat.</w:t>
      </w:r>
      <w:r>
        <w:rPr>
          <w:color w:val="000000"/>
          <w:sz w:val="24"/>
          <w:szCs w:val="24"/>
        </w:rPr>
        <w:br/>
        <w:t xml:space="preserve">Zárásképpen a még hátralevő szükséges lépéseket mutatom be röviden, és a várható következményekről igyekszem a konklúziót leszűrni.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44928">
    <w:multiLevelType w:val="hybridMultilevel"/>
    <w:lvl w:ilvl="0" w:tplc="65975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44928">
    <w:abstractNumId w:val="37844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995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