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FEKETE</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Ágoston Mohay</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European legal protection on new paths - the reform of the European Court of Human Rights and the European Union's accession to the European Convention on Human Rights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a short general and universal overview of international human rights regimes in the beginning of my paper, I concentrate on the European dimension of human rights protection. Firstly, I discuss the mechanisms within the framework of the European Convention on Human Rights, and integrally connected to it, the European Court of Human Rights, the latest changes, and the newest reform ideas with respect to the institution. After this, I overview the human rights protection possibilities within the European Union.</w:t>
      </w:r>
      <w:r>
        <w:rPr>
          <w:color w:val="000000"/>
          <w:sz w:val="24"/>
          <w:szCs w:val="24"/>
        </w:rPr>
        <w:br/>
        <w:t xml:space="preserve">I also present the relationship between the two institutions with the help of questions and judicial decisions that arose in the past decades. I describe the need for the accession of the European Union to the European Convention on Human Rights, the procedural rules that govern this process, and the steps that have already been made. I aim to enumerate the questions that emerged with regards of the substantial, institutional, and procedural law, and I try to also answer these questions based on the draft accession agreement.</w:t>
      </w:r>
      <w:r>
        <w:rPr>
          <w:color w:val="000000"/>
          <w:sz w:val="24"/>
          <w:szCs w:val="24"/>
        </w:rPr>
        <w:br/>
        <w:t xml:space="preserve">To conclude, I overview the steps that are still needed to be made for the accession, and I try to reach a conclusion about the possible outcome of 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60680">
    <w:multiLevelType w:val="hybridMultilevel"/>
    <w:lvl w:ilvl="0" w:tplc="47482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60680">
    <w:abstractNumId w:val="84160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021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