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KŐVÁRI PETRA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Mohay Ágoston</w:t>
            </w:r>
          </w:p>
          <w:p w:rsidR="00DB4822" w:rsidRDefault="00DB4822" w:rsidP="00E11062">
            <w:pPr>
              <w:pStyle w:val="Konzulensek"/>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dublini rendszer válsága a bírói esetjog tükrében - A kölcsönös bizalom vége?</w:t>
      </w:r>
    </w:p>
    <w:p w:rsidR="00D71DF5" w:rsidRDefault="00D71DF5" w:rsidP="00AD2602">
      <w:pPr>
        <w:jc w:val="both"/>
      </w:pPr>
    </w:p>
    <w:p>
      <w:pPr>
        <w:pBdr/>
        <w:spacing w:before="240" w:after="240" w:line="240" w:lineRule="auto"/>
        <w:ind w:left="0" w:right="0"/>
        <w:jc w:val="left"/>
      </w:pPr>
      <w:r>
        <w:rPr>
          <w:color w:val="000000"/>
          <w:sz w:val="24"/>
          <w:szCs w:val="24"/>
        </w:rPr>
        <w:t xml:space="preserve">A pályamunkám az uniós menekültjog fontos alrendszerének, a dublini rendszernek a közelmúltban tetőző válságát kísérli bemutatni a bírói esetjog tükrében. A dublini rendszer célja annak meghatározása, hogy mely tagállam felelős egy menedékkérelem megvizsgálásáért. A felelősség meghatározása egy hierarchikus kritériumrendszer alapján történik.</w:t>
      </w:r>
      <w:r>
        <w:rPr>
          <w:color w:val="000000"/>
          <w:sz w:val="24"/>
          <w:szCs w:val="24"/>
        </w:rPr>
        <w:br/>
        <w:t xml:space="preserve">Az Európai Unió menekültjoga emberi jogokkal és a nemzetközi menekültjog vívmányaival átszőtt szabályozási terület, legfontosabb alapelve a „non-refoulement” (visszairányítás) tilalma. Az emberi jogi elvek mellett egy sajátos fogalom, a kölcsönös bizalom hatja át a rendszert, amely a dublini transzferek alapját képezi. Az ebből eredő vélelem szerint minden tagállam betartja a rá irányadó emberi jogi és nemzetközi jogi kötelzettségket (pl. a non-refoulement elvét). Görögország példáján keresztül kívántam szemléltetni az egyre gyakoribb jogsértések előfordulását és a kölcsönös bizalom megrendülését a tagállamok között.</w:t>
      </w:r>
      <w:r>
        <w:rPr>
          <w:color w:val="000000"/>
          <w:sz w:val="24"/>
          <w:szCs w:val="24"/>
        </w:rPr>
        <w:br/>
        <w:t xml:space="preserve">A bírói esetjogban érdekes fordulatot hozott az Emberi Jogok Európai Bíróságának az M. S. S. néven elhíresült ítélete, mellyel saját korábbi ítélkezési gyakorlatát írta felül, amikor egy tagállamot (Belgium) azért marasztalt el, mert menedékkérőt küldött vissza egy olyan tagállamba (Görögország), amely folyamatosan megsérti többek között a non-refoulement elvét. A másik általam feldolgozott ítélet, amelyet az Európai Unió Bírósága az M. E. és N. S. egyesített ügyekben hozott, meghivatkozta és lényegében megismételte az EJEB által kimondottakat és ezzel a dublini átszállítások felfüggesztését tette lehetővé.</w:t>
      </w:r>
      <w:r>
        <w:rPr>
          <w:color w:val="000000"/>
          <w:sz w:val="24"/>
          <w:szCs w:val="24"/>
        </w:rPr>
        <w:br/>
        <w:t xml:space="preserve">2008-ban az Európai Bizottság már benyújtotta javaslatát a dublini és a kapcsolódó menekültjogi rendeletek reformjára vonatkozóan. 2012-ben azonban újra középpontba került a javaslat és kisebb átdolgozásokkal júniusban jutott kompromisszumra az Európai Parlament és a Tanács. A szakirodalom és a menekültek jogaiért kiálló nemzetközi szervezetek azonban éles kritikákkal illették a reformok bátortalanságát és alapvető intézményi változtatásokat sürgetnek. Ezek a hangok az Unión belül is megszólaltak. Az EP Állampolgári Jogi, Bel-és Igazságügyi Bizottsága jelentésében fokozottabb szolidaritást és a dublini rendszer mellett egy közös eljárást javasol a menedékkérelmek megvizsgálására.</w:t>
      </w:r>
      <w:r>
        <w:rPr>
          <w:color w:val="000000"/>
          <w:sz w:val="24"/>
          <w:szCs w:val="24"/>
        </w:rPr>
        <w:br/>
        <w:t xml:space="preserve">A Közös Európai Menekültügyi Rendszer kiteljesítésének keretein belül soha nem látott alkalom nyílna a dublini rendszerről folytatott uniós viták újrakezdésére, az erre irányuló akarat azonban egyelőre úgy tűnik, hiányzik.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65123">
    <w:multiLevelType w:val="hybridMultilevel"/>
    <w:lvl w:ilvl="0" w:tplc="30124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65123">
    <w:abstractNumId w:val="859651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256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