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Ágoston Mohay</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crisis of the Dublin system in the light of the case-law – The end of mutual trust?</w:t>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my essay is to analyse the crisis of the Dublin System as a key element of EU asylum law, in the light of the relevant case law. The aim of the system is to determine which member state is responsible for examining an asylum claim. A hierarchy of criteria helps to determine responsibility.</w:t>
      </w:r>
      <w:r>
        <w:rPr>
          <w:color w:val="000000"/>
          <w:sz w:val="24"/>
          <w:szCs w:val="24"/>
        </w:rPr>
        <w:br/>
        <w:t xml:space="preserve">The EU asylum law acquis is in inevitable connection with human rights and the achievements of international asylum law. The most important principle of the system is the principle of non-refoulement. Mutual trust is another essential principle besides human rights and it provides the basis for the Dublin transfers. According to this presumption, every member state complies with the binding human rights and international asylum law obligations. I chose the example of Greece to demonstrate the ever growing number of infringements of these obligations and loss of mutual trust.</w:t>
      </w:r>
      <w:r>
        <w:rPr>
          <w:color w:val="000000"/>
          <w:sz w:val="24"/>
          <w:szCs w:val="24"/>
        </w:rPr>
        <w:br/>
        <w:t xml:space="preserve">The case-law of the European Court of Human Rights (ECtHR) brought an interesting twist, when the court turned away from its own previous jurisdiction and found that a member state (Belgium) was in violation of its obligations, when returning an asylum seeker to another member state (Greece) that was in continuous breach of for example the principle of non-refoulement. The second analysed judgement was given by the Court of Justice of the European Union (CJEU) in cases M.E &amp; N.S. In its judgement, the CJEU referenced the judgement given by the ECtHR and made it possible for member states to suspend Dublin transfers.</w:t>
      </w:r>
      <w:r>
        <w:rPr>
          <w:color w:val="000000"/>
          <w:sz w:val="24"/>
          <w:szCs w:val="24"/>
        </w:rPr>
        <w:br/>
        <w:t xml:space="preserve">The European Commission decided on the recast of the Dublin and other related regulations/directives in 2008. In 2012 these attempts became the centre of attention once again and the European Parliament (EP) and the Council had come to a compromise in June of 2012. Experts and international organisations protecting the rights of asylum seekers found the recast low-spirited and are standing out for more structural, fundamental changes. Such voices also appeared in EU institutions. The Committee on Civil Liberties, Justice and Home Affairs of the EP passed a report on enhanced solidarity between member states and suggests a new joint processing of asylum applications besides the Dublin system.</w:t>
      </w:r>
      <w:r>
        <w:rPr>
          <w:color w:val="000000"/>
          <w:sz w:val="24"/>
          <w:szCs w:val="24"/>
        </w:rPr>
        <w:br/>
        <w:t xml:space="preserve">The realisation and reform of the Common European Asylum system could bring an unprecedented occasion to reopen the debate on the Dublin system, but an actual will to do so still appears to be lacking.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69445">
    <w:multiLevelType w:val="hybridMultilevel"/>
    <w:lvl w:ilvl="0" w:tplc="35743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69445">
    <w:abstractNumId w:val="614694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67355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