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BALÁZS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Kajtár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Béli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egyházi nemesek jogállása Közép-Kelet Európában a XI. századtól a XIV. századig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dolgozathoz olyan témát választottam, amely a jogtörténet kevésbé ismert területére vezethet. A fejezetekben található hipotézisek az eredeti primer források latin nyelvről magyarra való fordításának eredményei, illetve a külföldi szakirodalom részleges feldolgozásán alapulnak. A dolgozatban szereplő latin és német nyelvű forrásrészletek, avagy az ezekre való hivatkozás és az ezeken alapuló fordításból született magyar nyelvű részletek a saját fordítások.</w:t>
      </w:r>
      <w:r>
        <w:rPr>
          <w:color w:val="000000"/>
          <w:sz w:val="24"/>
          <w:szCs w:val="24"/>
        </w:rPr>
        <w:br/>
        <w:t xml:space="preserve">A főbb következtetések között szerepel a minden országban tisztán érzékelhető jelenség, miszerint a társadalmi állás szorosan kapcsolódik az egyház hatalmának erejéhez. Az egyház erejétől függ az egyházi nemes társadalmi állása. A területenkénti és időbeli eltérések igazodnak az általános egyháztörténeti változásokhoz. Emellett az egyház nemes jobbágyai nagyon hasonló jogosítványokkal rendelkeztek a korban, amit az egyházak saját jogaikból engedtek át számukra. Az egyház jogainak fundamentumát viszont az egyetemes kánonjogi és egyházjogi szabályok adták. A kötelezettségek közötti hasonlóságok oka az egész státusz létrejöttének oka is egyben, amely mindenhol a lovas katonai szolgálat volt, mivel az egyház szükségesnek látta saját katonai rend fenntartását. A kötelezettségek közötti eltérés pedig a különböző egyházi célokban keresendő. Az egyház mindegyik országban mást tartott fontosnak, illetve a világi hatalom gyakorlója is más feladatokat, funkciókat várt el az egyháztól. A birtok tulajdonságai determinálják a jogi kapcsolatot, a jogviszonyt. Minden területen az egyház nemesét megillette a birtok felett való részleges vagy korlátozott rendelkezés joga, habár ennek fokozatai és szabadsága differenciált. A rendelkezési jogok közül pedig három alapjogon lehet leginkább kitapintani a jog adta lehetőségeket, ezek mindhárom területen az öröklési jogok, az elidegenítési jogok és a megterhelési jogok.</w:t>
      </w:r>
      <w:r>
        <w:rPr>
          <w:color w:val="000000"/>
          <w:sz w:val="24"/>
          <w:szCs w:val="24"/>
        </w:rPr>
        <w:br/>
        <w:t xml:space="preserve">Az egyházi nemes sajátos jogállásában - a partikuláris jogok hatására, illetve a világi jogok elszigetelődésének ellenére is - sok hasonlóság mutatható ki. Amely hasonlóságok a korban egyetlen más világi státuszt sem jellemez. Ennek okát, illetve az egységesnek, hasonlónak mondható státusz-és jogfejlődés okát az egyház tulajdonságából eredeztetőnek vallom, hiszen a nyugati-keresztény egyház a egyetemességéből adódóan összetartó és egységesítő erőként bír az egyházi nemesek jogállására és magára a jogfejlődésre a korban.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28880">
    <w:multiLevelType w:val="hybridMultilevel"/>
    <w:lvl w:ilvl="0" w:tplc="92924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28880">
    <w:abstractNumId w:val="334288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6536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