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CSEH</w:t>
            </w:r>
          </w:p>
          <w:p w:rsidR="00C275A3" w:rsidRDefault="00A96AEC" w:rsidP="00C275A3">
            <w:pPr>
              <w:pStyle w:val="Hallgatokepzes"/>
            </w:pPr>
            <w:r>
              <w:t>lawyer</w:t>
            </w:r>
            <w:r>
              <w:br/>
            </w:r>
            <w:r w:rsidR="00E77B23">
              <w:t>Unified, 7.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Kajtár</w:t>
            </w:r>
          </w:p>
          <w:p w:rsidR="00DB4822" w:rsidRDefault="00DB4822" w:rsidP="00E11062">
            <w:pPr>
              <w:pStyle w:val="Konzulensek"/>
            </w:pPr>
            <w:r w:rsidRPr="00DB4822">
              <w:t>professor, PTE ÁJK</w:t>
            </w:r>
          </w:p>
        </w:tc>
      </w:tr>
      <w:tr w:rsidR="00DB4822" w:rsidTr="00DB4822">
        <w:tc>
          <w:tcPr>
            <w:tcW w:w="9854" w:type="dxa"/>
          </w:tcPr>
          <w:p w:rsidR="00DB4822" w:rsidRPr="00DB4822" w:rsidRDefault="00DB4822" w:rsidP="004D7940">
            <w:pPr>
              <w:pStyle w:val="Konzulensek"/>
            </w:pPr>
            <w:r w:rsidRPr="00DB4822">
              <w:t>Dr. Gábor Béli</w:t>
            </w:r>
          </w:p>
          <w:p w:rsidR="00DB4822" w:rsidRDefault="00DB4822" w:rsidP="00E11062">
            <w:pPr>
              <w:pStyle w:val="Konzulensek"/>
            </w:pPr>
            <w:r w:rsidRPr="00DB4822">
              <w:t>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legal status of prediales in Mid-Eastern Europe from the 11th to the 14th Century</w:t>
      </w:r>
    </w:p>
    <w:p w:rsidR="00D71DF5" w:rsidRDefault="00D71DF5" w:rsidP="00AD2602">
      <w:pPr>
        <w:jc w:val="both"/>
      </w:pPr>
    </w:p>
    <w:p>
      <w:pPr>
        <w:pBdr/>
        <w:spacing w:before="240" w:after="240" w:line="240" w:lineRule="auto"/>
        <w:ind w:left="0" w:right="0"/>
        <w:jc w:val="left"/>
      </w:pPr>
      <w:r>
        <w:rPr>
          <w:color w:val="000000"/>
          <w:sz w:val="24"/>
          <w:szCs w:val="24"/>
        </w:rPr>
        <w:t xml:space="preserve">I have chosen the topic of my paper with the aim of focusing on a more unfamiliar area of law history. While discussing each chapter I included several individual hypotheses which are the result of both the translation of my original primary sources from Latin to Hungarian and the extensive study of relating foreign literature. The Latin and German sources, the references to these sources and the sources translated to Hungarian that are included in the paper are my personal translations.</w:t>
      </w:r>
      <w:r>
        <w:rPr>
          <w:color w:val="000000"/>
          <w:sz w:val="24"/>
          <w:szCs w:val="24"/>
        </w:rPr>
        <w:br/>
        <w:t xml:space="preserve">My conclusions include a clearly apparent phenomenon which can be observed in every country which is that the state of society is in close connection with how much power the church has. The influence of the church determines the prediales’s status in society. The regional and temporal differences are in accordance with common changes in church history. Furthermore the prediales’s serfs had very similar rights in the period. This was the result of the simple fact that the churches conceded some rights to them. However the basis for the rights of the church came from universal canon law and church law. The reason for the similarities between their obligations is the reason that the title of prediales appeared. The most important obligation was military service as the church believed they had to provide military order. The differences between obligations are found in the different goals of the church. The church had different priorities in every country and the secular powers in different countries expected the church to fulfill different tasks and functions.</w:t>
      </w:r>
      <w:r>
        <w:rPr>
          <w:color w:val="000000"/>
          <w:sz w:val="24"/>
          <w:szCs w:val="24"/>
        </w:rPr>
        <w:br/>
        <w:t xml:space="preserve">In every domain the prediales had a partial or limited right to control the particular domain although the extent and freedom involved varied in every domain. Among the controlling rights we have three fundamental claims which are the most ideal to see the opportunities given by the law; these are inheritance rights, estrangement rights and encumbrance rights. As an effect of local rights and despite the isolation of secular rights we can see many similarities in the prediales’s special legal situation which are not present in any other secular status in the period. I believe that the reason for this and for the unified and similar evolution of status and rights derives from the nature of the church.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636604">
    <w:multiLevelType w:val="hybridMultilevel"/>
    <w:lvl w:ilvl="0" w:tplc="467077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636604">
    <w:abstractNumId w:val="296366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84798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