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LÁSZLÓ BALÁZS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Béli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 hűtlenség miatti vagyonkobzás az Árpád-kori ius regium körében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mindenkori államok közjogában központi helyet foglal el a hatalmat megtestesítő intézmények jogállásának kérdése. Magyarország esetében, minthogy hazánk államformája a XI. századtól rövid megszakítással 1946. február 1-ig királyság volt, a fenti kérdés jogtörténeti vizsgálatának középpontjában a király jogállása helyezkedik el. Különösen igaz ez a személyes királyság idején. Jelen dolgozat célja az Árpád-kori királyi jog (ius regium) egyik legfontosabb elemének, a hűtlenség miatti vagyonkobzás intézményének bemutatása, első sorban a korabeli latin nyelvű dokumentumok (saját fordításon alapuló) feldolgozásával.</w:t>
      </w:r>
      <w:r>
        <w:rPr>
          <w:color w:val="000000"/>
          <w:sz w:val="24"/>
          <w:szCs w:val="24"/>
        </w:rPr>
        <w:br/>
        <w:t xml:space="preserve">A vagyonkobzás (confiscatio) legfontosabb tárgya éppen a királyi hatalom alapját is képező földbirtok volt. A hűtlenség így, szankcióján keresztül, kapcsolatba hozható olyan jogintézményekkel is, mint az alattvalói hűséget jutalmazó királyi birtokadományozás, vagy az azzal együtt járó egyéb megfontolások, a birtokhoz kapcsolódó esetleges későbbi alattvalói kötelezettségek.</w:t>
      </w:r>
      <w:r>
        <w:rPr>
          <w:color w:val="000000"/>
          <w:sz w:val="24"/>
          <w:szCs w:val="24"/>
        </w:rPr>
        <w:br/>
        <w:t xml:space="preserve">A confiscatio tehát kiindulópont lehet a korszak több jogtörténeti kérdésének későbbi vizsgálatához is. A hűtlenség miatti vagyonkobzás Árpád-kori alakulásának feltérképezése pedig, az önmagában hordozott érték mellett, talán a legjobb kiindulópontot jelentheti egyrészt az Árpád-kori fiscalia regum és ezen keresztül a teljes ius regium, másrészt a confiscatio XIII. századot követő alakulásának, végső soron a ius regium I. (Szent) Istvántól a XX. századig terjedő történetének vizsgálatához.</w:t>
      </w:r>
      <w:r>
        <w:rPr>
          <w:color w:val="000000"/>
          <w:sz w:val="24"/>
          <w:szCs w:val="24"/>
        </w:rPr>
        <w:br/>
        <w:t xml:space="preserve">A latin nyelvű dokumentumok széleskörű felhasználása pedig egyfelől azért nagyon fontos, mert az adott korszakra nézve aligha található hitelesebb forrás, mint a király és a hiteleshelyek által kiadott, a királyi akaratot tükröző oklevelek. Másfelől, e dokumentumok feldolgozottsága rendkívül alacsony, miközben a latin nyelv oktatása, ismerete egyre inkább visszaszorulóban van. További célom tehát az Árpád-kori írott forrásokban rejlő hatalmas jogi, jog-, gazdaság-, hatalom- és társadalomtörténeti, valamint kulturális és (a szórványos magyar nyelvemlékek útján) nyelvi ismeretanyag részleges közvetítése a jelenkor, illetve megmentése az utókor számára.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565209">
    <w:multiLevelType w:val="hybridMultilevel"/>
    <w:lvl w:ilvl="0" w:tplc="265715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565209">
    <w:abstractNumId w:val="235652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66575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