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LÁSZLÓ</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Béli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Confiscation following infidelity in the ‘ius regium’ during the reign of the Árpád dynasty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all times among the questions concerning public law of several states, the basic issue is that of the legal status of institutions embodying power and authority. As Hungary was a monarchy from the 11th century until 1946, the most relevant issue of public law (especially during the era of personal/patrimonial monarchy) is the legal status of the monarch. The purpose of this essay is to present one of the most important elements of ‘ius regium’, confiscation following infidelity, using mainly Latin documents (translated by myself) of the era.</w:t>
      </w:r>
      <w:r>
        <w:rPr>
          <w:color w:val="000000"/>
          <w:sz w:val="24"/>
          <w:szCs w:val="24"/>
        </w:rPr>
        <w:br/>
        <w:t xml:space="preserve">As the most important and most common object of confiscation is the land (estate) of the subjects, confiscation also bears a relation to the donation of land which can be an effective way of recompense the fidelity of subjects.</w:t>
      </w:r>
      <w:r>
        <w:rPr>
          <w:color w:val="000000"/>
          <w:sz w:val="24"/>
          <w:szCs w:val="24"/>
        </w:rPr>
        <w:br/>
        <w:t xml:space="preserve">Analyzing confiscation can be the first step to further examination concerning issues of legal history. After presenting the characteristics of confiscation following infidelity, examination of ‘fiscalia regum’ and the entire ‘ius regium’ of the Árpád-era can be fulfilled. Later, the evolution of ‘ius regium’ can also be analyzed concerning the era from the 14th to the 20th century.</w:t>
      </w:r>
      <w:r>
        <w:rPr>
          <w:color w:val="000000"/>
          <w:sz w:val="24"/>
          <w:szCs w:val="24"/>
        </w:rPr>
        <w:br/>
        <w:t xml:space="preserve">The significance of using Latin documents from these centuries stands first of all in the authenticity of royal degrees and warrants, as these sources reflect the royal will. On the other hand, less and less scientists are able to translate and interpret these Latin documents. So, a further purpose of my essay is to transmit the legal, historical, economical, social, cultural and lingual references of these sources to my contemporaries and to bring these references through to the future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43591">
    <w:multiLevelType w:val="hybridMultilevel"/>
    <w:lvl w:ilvl="0" w:tplc="83932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43591">
    <w:abstractNumId w:val="38443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254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