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MÁRKUS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Béli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financial self-sufficiency as the cornerstone of the county's autonomy, from the creation of the noble counties to the period of the enlightened absolutism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thesis was to show how the counties autonomous financial system developed, what conditions of its development were, how and for what purposes were the counties impose and collect the burdens. I also wanted to highlight that the extensive financial autonomy of local communities is useful and essential for the effective self-management and self-governance. All of these topics I tried to present by the literature of the subject and by the internal products of the counties' legislation, the rules of the statutes.</w:t>
      </w:r>
      <w:r>
        <w:rPr>
          <w:color w:val="000000"/>
          <w:sz w:val="24"/>
          <w:szCs w:val="24"/>
        </w:rPr>
        <w:br/>
        <w:t xml:space="preserve">Initially, the counties were only the local repositories of the royal power. A self-defense and local governmental college was formed, that college was the community of the nobles living in the same county as a counterpole against the increasing power of the largest landowners. The departmental autonomy expanded during the Turkish occupation, when the counties became the only conservators of the jurisdiction, public administration, and the only executors of the central laws and other regulations.</w:t>
      </w:r>
      <w:r>
        <w:rPr>
          <w:color w:val="000000"/>
          <w:sz w:val="24"/>
          <w:szCs w:val="24"/>
        </w:rPr>
        <w:br/>
        <w:t xml:space="preserve">The wide-ranging tasks required a large-scale apparatus. The remuneration of the county officers' were gained from multiple sources: punishments, fines and fees paid for legal actions, but they also often received subsistences, fares, and rewards and constant payment voted by the county council. Since the remunerations were decided at the counties' councils, the rate and resources varied from county to county. The departmental incomes, including the domestica, which tax was paid by the local nobles and some sources of income adapted to the local conditions (eg. the burdens of the smokers in Baranya, and of the pálinka distilleries in Nyitra county) were stacked to the coffer of the county. The refurbish and maintain of the local bridges and roads, and the building of the county halls were a major effort, but also for the the maintenance of public order, the army's supplies and the fortress-maintenances the counties needed financial leeway (especially during and after the Turkish wars).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88050">
    <w:multiLevelType w:val="hybridMultilevel"/>
    <w:lvl w:ilvl="0" w:tplc="68957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88050">
    <w:abstractNumId w:val="71588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30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