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HEID</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Horváth</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Eco-labelling: a measure in service of sustainable development</w:t>
      </w:r>
    </w:p>
    <w:p w:rsidR="00D71DF5" w:rsidRDefault="00D71DF5" w:rsidP="00AD2602">
      <w:pPr>
        <w:jc w:val="both"/>
      </w:pPr>
    </w:p>
    <w:p>
      <w:pPr>
        <w:pBdr/>
        <w:spacing w:before="240" w:after="240" w:line="240" w:lineRule="auto"/>
        <w:ind w:left="0" w:right="0"/>
        <w:jc w:val="left"/>
      </w:pPr>
      <w:r>
        <w:rPr>
          <w:color w:val="000000"/>
          <w:sz w:val="24"/>
          <w:szCs w:val="24"/>
        </w:rPr>
        <w:t xml:space="preserve">Sustainable development is economic and social development that, while preserving the assets of natural environment, meets the needs of the present without compromising the ability of future generations to meet their own needs. One important tool of sustainable development strategies at international, European and national level is the encouragement of sustainable production and consumption methods. Environmental labelling contributes to sustainable production and consumption through encouragement of consumers to buy environmentally friendly products bearing the label; and through encouragement of producers to use less harmful materials, less energy, to apply better techniques, and to develop products representing less pressure to the environment, thus ensuring market advantages and better income for producers and distributors of labelled products.</w:t>
      </w:r>
      <w:r>
        <w:rPr>
          <w:color w:val="000000"/>
          <w:sz w:val="24"/>
          <w:szCs w:val="24"/>
        </w:rPr>
        <w:br/>
        <w:t xml:space="preserve">The EU eco-label system the “European Flower” was introduced in 1992, now it is regulated by the Reg. 66/2010 of the EP and the Council. Its aim is to ease for producers to meet environmental requirements and to inform and encourage consumers via signalling environmental excellence of products. The eco-label criteria, based on the life-cycle analysis, are developed by the EU Commission for product groups (e.g. cleaners, textiles, electronic equipments, papers, accommodations, etc.); the label is awarded by the competent national authority, on the producer’s application, according to the procedure defined in the Annex to the Regulation. Participation in the scheme is voluntary, however, certain application and annual fees are charged. Besides the EU eco-label, other labels might be used, e.g. the “Euroleaf” signing bio-products, or the energy-label; furthermore, national labels, like the German “Blue Angel” or the “Nordic Swan”.</w:t>
      </w:r>
      <w:r>
        <w:rPr>
          <w:color w:val="000000"/>
          <w:sz w:val="24"/>
          <w:szCs w:val="24"/>
        </w:rPr>
        <w:br/>
        <w:t xml:space="preserve">The Hungarian eco-label, the “Oak” was introduced by Reg. 29/1997 KTM (Environmental Ministry), modified in 2004 to meet EU rules. The label is awarded by the Ministry of Rural Development, based on an expert opinion from the assigned body. Both the EU and Hungarian labels indicate the most significant environmental characteristics of the product. In both systems the use of the label is based on a contract, subject to control.</w:t>
      </w:r>
      <w:r>
        <w:rPr>
          <w:color w:val="000000"/>
          <w:sz w:val="24"/>
          <w:szCs w:val="24"/>
        </w:rPr>
        <w:br/>
        <w:t xml:space="preserve">The growing system of eco-labelling contributes to the implementation of economic and environmental requirements of sustainable development via raising environmental awareness of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78705">
    <w:multiLevelType w:val="hybridMultilevel"/>
    <w:lvl w:ilvl="0" w:tplc="27018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78705">
    <w:abstractNumId w:val="94978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298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