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PÁL</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Bencsik</w:t>
            </w:r>
          </w:p>
          <w:p w:rsidR="00DB4822" w:rsidRDefault="00DB4822" w:rsidP="00E11062">
            <w:pPr>
              <w:pStyle w:val="Konzulensek"/>
            </w:pPr>
            <w:r w:rsidRPr="00DB4822">
              <w:t>professor’s assistant, PTE ÁJK</w:t>
            </w:r>
          </w:p>
        </w:tc>
      </w:tr>
      <w:tr w:rsidR="00DB4822" w:rsidTr="00DB4822">
        <w:tc>
          <w:tcPr>
            <w:tcW w:w="9854" w:type="dxa"/>
          </w:tcPr>
          <w:p w:rsidR="00DB4822" w:rsidRPr="00DB4822" w:rsidRDefault="00DB4822" w:rsidP="004D7940">
            <w:pPr>
              <w:pStyle w:val="Konzulensek"/>
            </w:pPr>
            <w:r w:rsidRPr="00DB4822">
              <w:t>Dr. Imre Ivancsics</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transformation of the legal control on the local governments</w:t>
      </w:r>
    </w:p>
    <w:p w:rsidR="00D71DF5" w:rsidRDefault="00D71DF5" w:rsidP="00AD2602">
      <w:pPr>
        <w:jc w:val="both"/>
      </w:pPr>
    </w:p>
    <w:p>
      <w:pPr>
        <w:pBdr/>
        <w:spacing w:before="240" w:after="240" w:line="240" w:lineRule="auto"/>
        <w:ind w:left="0" w:right="0"/>
        <w:jc w:val="left"/>
      </w:pPr>
      <w:r>
        <w:rPr>
          <w:color w:val="000000"/>
          <w:sz w:val="24"/>
          <w:szCs w:val="24"/>
        </w:rPr>
        <w:t xml:space="preserve">To ensure the legality of the administration, the state control over the local government is one of the most important step, in which the Constitutional Court, the adjustment mechanisms, like prosecutiorial control; the administrative court, the surveillance procedure held by the capital city and the county government offices have an important role. At my thesis i examine the latter case.</w:t>
      </w:r>
      <w:r>
        <w:rPr>
          <w:color w:val="000000"/>
          <w:sz w:val="24"/>
          <w:szCs w:val="24"/>
        </w:rPr>
        <w:br/>
        <w:t xml:space="preserve">The recent legislative acts require the detailed discussion of the subject. The mentioned legislative steps have made the instrument and scope of the legal supervision as an adjustment mechanism, a stronger intervention for the state. The legislature has made it because of the „no consequences” situation, which use to caracterise the legal control.</w:t>
      </w:r>
      <w:r>
        <w:rPr>
          <w:color w:val="000000"/>
          <w:sz w:val="24"/>
          <w:szCs w:val="24"/>
        </w:rPr>
        <w:br/>
        <w:t xml:space="preserve">In my opinion, there is a need to develope a „common language” at the meaning of control and monitoring. Thus my thesis have devoted an enire chapter for the concept of the control and monitoring, and for the relationship between them, by examining domestic and foreign literature, because not just the theoretical-dogmatic but also the legal regulations should be more consistent at using these therms.</w:t>
      </w:r>
      <w:r>
        <w:rPr>
          <w:color w:val="000000"/>
          <w:sz w:val="24"/>
          <w:szCs w:val="24"/>
        </w:rPr>
        <w:br/>
        <w:t xml:space="preserve">I have done a brief description of the western european models of the state supervision at the local governments, highlighting those elements, which could be considered to insert at the national legal order, subject to the European Charta of the Local Government. The analytical evaluation of the nowdays national legislation is the focus point of my thesis, with an emphasis of the restoration act, as a new monitoring tool.</w:t>
      </w:r>
      <w:r>
        <w:rPr>
          <w:color w:val="000000"/>
          <w:sz w:val="24"/>
          <w:szCs w:val="24"/>
        </w:rPr>
        <w:br/>
        <w:t xml:space="preserve">I would like to call the attention in my thesis to the deficites and the problems of the national legislation concerning to the supervision.</w:t>
      </w:r>
      <w:r>
        <w:rPr>
          <w:color w:val="000000"/>
          <w:sz w:val="24"/>
          <w:szCs w:val="24"/>
        </w:rPr>
        <w:br/>
        <w:t xml:space="preserve">My aim is not to reject the complete and effective supervisory system. I would like to highlight with my de lege ferenda recomendations those elements, which could be useful for an effective legislation.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46331">
    <w:multiLevelType w:val="hybridMultilevel"/>
    <w:lvl w:ilvl="0" w:tplc="70400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46331">
    <w:abstractNumId w:val="44646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793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