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DAKA MARIJA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koszovói függetlenségi nyilatkozat és az ehhez vezető út a Nemzetközi Bíróság tanácsadó véleménye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– annak címéből következően – a Nemzetközi Bíróság koszovói függetlenségi nyilatkozathoz kapcsolódó tanácsadó véleményét kívánja bemutatni illetve az azt megelőző történelmi-jogi előzményekhez kíván áttekintést nyújtani.</w:t>
      </w:r>
      <w:r>
        <w:rPr>
          <w:color w:val="000000"/>
          <w:sz w:val="24"/>
          <w:szCs w:val="24"/>
        </w:rPr>
        <w:br/>
        <w:t xml:space="preserve">A történeti felvezetés (ennek főbb csomópontjai a török berendezkedés, majd Jugoszláv Szocialista Szövetségi Köztársaság illetve a délszláv háború) conditio sine qua non-ja a szerb álláspont, valamint a függetlenség kikiáltásának és körülményeinek jobb megértésének.</w:t>
      </w:r>
      <w:r>
        <w:rPr>
          <w:color w:val="000000"/>
          <w:sz w:val="24"/>
          <w:szCs w:val="24"/>
        </w:rPr>
        <w:br/>
        <w:t xml:space="preserve">A dolgozat Koszovó kapcsán kitér az ENSZ rendszerére, szerepvállalására a nemzetközi béke és biztonság biztosítása tekintetében, a Biztonsági Tanács és a Főtitkár tevékenységére.</w:t>
      </w:r>
      <w:r>
        <w:rPr>
          <w:color w:val="000000"/>
          <w:sz w:val="24"/>
          <w:szCs w:val="24"/>
        </w:rPr>
        <w:br/>
        <w:t xml:space="preserve">A szerző ismerteti a függetlenség kikiáltásának körülményeit, valamint a tanácsadó vélemény kérelmére vonatkozó eljárást. Nagy horderejű jogeset lévén az államok jelentős száma által előterjesztett írásbeli beadványok közül a legrelevánsabbak bemutatásra kerülnek. A dolgozat kritikai szempontú elemzést igyekszik adni a koszovói komplex problémakörről, mindvégig ügyelve az objektivitás kívánalmára.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07527">
    <w:multiLevelType w:val="hybridMultilevel"/>
    <w:lvl w:ilvl="0" w:tplc="83878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07527">
    <w:abstractNumId w:val="42707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248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