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MARIJA DAKA</w:t>
            </w:r>
          </w:p>
          <w:p w:rsidR="00C275A3" w:rsidRDefault="00A96AEC" w:rsidP="00C275A3">
            <w:pPr>
              <w:pStyle w:val="Hallgatokepzes"/>
            </w:pPr>
            <w:r>
              <w:t>lawyer</w:t>
            </w:r>
            <w:r>
              <w:br/>
            </w:r>
            <w:r w:rsidR="00E77B23">
              <w:t>Unified, 5. semester</w:t>
            </w:r>
          </w:p>
          <w:p w:rsidR="00C265CE" w:rsidRPr="009E5FF1" w:rsidRDefault="00E77B23" w:rsidP="00C275A3">
            <w:pPr>
              <w:pStyle w:val="Hallgatokepzes"/>
              <w:rPr>
                <w:b/>
                <w:caps/>
              </w:rPr>
            </w:pPr>
            <w:r>
              <w:t>University of Pécs</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Zsuzsanna Csapó</w:t>
            </w:r>
          </w:p>
          <w:p w:rsidR="00DB4822" w:rsidRDefault="00DB4822" w:rsidP="00E11062">
            <w:pPr>
              <w:pStyle w:val="Konzulensek"/>
            </w:pPr>
            <w:r w:rsidRPr="00DB4822">
              <w:t>assistant professor, PTE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Kosovar Declaration of Independence and the Way Leading up to it’s Drafting as Reflected by the Advisory Opinion of the International Court of Justice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aim of this essay – in compliance with its title – is to give an overview of the advisory opinion of the International Court of Justice concerning the Kosovar declaration of independence and to outline the foregoing historical-legal events preceding its birth. The reason for the analysis of the historical background (besides the Ottoman rule, the Socialist Federal Republic of Yugoslavia and the Yugoslav wars) is that the condition sine qua non of the situation is the official point of view of Serbia, and the description of the grounding also serves to provide a better understanding of the proclamation and the circumstances of independence.</w:t>
      </w:r>
      <w:r>
        <w:rPr>
          <w:color w:val="000000"/>
          <w:sz w:val="24"/>
          <w:szCs w:val="24"/>
        </w:rPr>
        <w:br/>
        <w:t xml:space="preserve">The essay – relating to Kosovo – describes the system of the United Nations Organisation and the role of the UNO in safeguarding international peace and security and it deals with the activity of the Security Council and that of the Secretary General as well. The work provides an overview of conditions contributing to the proclamation of independence and the procedure regarding the claim for an advisory opinion. Since this is a case of big importance, the most relevant written submissions lodged by a great number of states concerned are also introduced.</w:t>
      </w:r>
      <w:r>
        <w:rPr>
          <w:color w:val="000000"/>
          <w:sz w:val="24"/>
          <w:szCs w:val="24"/>
        </w:rPr>
        <w:br/>
        <w:t xml:space="preserve">The essay intends to give a critical analysis of the complex issue of Kosovo, nevertheless it pays attention to the requirement of objectivity in every respect.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320379">
    <w:multiLevelType w:val="hybridMultilevel"/>
    <w:lvl w:ilvl="0" w:tplc="9958213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320379">
    <w:abstractNumId w:val="6232037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9544415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