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MÉSZÁROS</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Csapó</w:t>
            </w:r>
          </w:p>
          <w:p w:rsidR="00DB4822" w:rsidRDefault="00DB4822" w:rsidP="00E11062">
            <w:pPr>
              <w:pStyle w:val="Konzulensek"/>
            </w:pPr>
            <w:r w:rsidRPr="00DB4822">
              <w:t>assistant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Mavi Marmara. The international legal aspects of the Gaza flotilla incident
</w:t>
      </w:r>
    </w:p>
    <w:p w:rsidR="00D71DF5" w:rsidRDefault="00D71DF5" w:rsidP="00AD2602">
      <w:pPr>
        <w:jc w:val="both"/>
      </w:pPr>
    </w:p>
    <w:p>
      <w:pPr>
        <w:pBdr/>
        <w:spacing w:before="240" w:after="240" w:line="240" w:lineRule="auto"/>
        <w:ind w:left="0" w:right="0"/>
        <w:jc w:val="left"/>
      </w:pPr>
      <w:r>
        <w:rPr>
          <w:color w:val="000000"/>
          <w:sz w:val="24"/>
          <w:szCs w:val="24"/>
        </w:rPr>
        <w:t xml:space="preserve">My work deals with the incident which happened in 2010, when the flotilla of six ships of two Turkish organizations attempted to break the blockade imposed by Israel. The vessels wanted to deliver aid for the Gaza Strip residents. As the previously announced inspection was refused, an Israeli commando boarded the deck. The delivery of relief supplies ended in a bloody struggle, in which nine people were killed and many injured.</w:t>
      </w:r>
      <w:r>
        <w:rPr>
          <w:color w:val="000000"/>
          <w:sz w:val="24"/>
          <w:szCs w:val="24"/>
        </w:rPr>
        <w:br/>
        <w:t xml:space="preserve">My work can be divided into four main parts, in which I try to shed light on the international law aspects of the instant case.</w:t>
      </w:r>
      <w:r>
        <w:rPr>
          <w:color w:val="000000"/>
          <w:sz w:val="24"/>
          <w:szCs w:val="24"/>
        </w:rPr>
        <w:br/>
        <w:t xml:space="preserve">In the first part, entitled History, the links between two countries, the historical relationship between Israel and Palestine and the Palestinian autonomy will be described. It would be difficult to understand the causes and consequences of the incident without all these.</w:t>
      </w:r>
      <w:r>
        <w:rPr>
          <w:color w:val="000000"/>
          <w:sz w:val="24"/>
          <w:szCs w:val="24"/>
        </w:rPr>
        <w:br/>
        <w:t xml:space="preserve">In the second part I analyze the organizations involved, describe the incident in detail and those responsible.</w:t>
      </w:r>
      <w:r>
        <w:rPr>
          <w:color w:val="000000"/>
          <w:sz w:val="24"/>
          <w:szCs w:val="24"/>
        </w:rPr>
        <w:br/>
        <w:t xml:space="preserve">In the next unit, I examine the international legal aspects of the incident: asylum, law of the sea and naval blockade, diplomacy, combatant and civilian status, international armed conflict, as well as the work of the committees set up to investigate the matter and their conclusions.</w:t>
      </w:r>
      <w:r>
        <w:rPr>
          <w:color w:val="000000"/>
          <w:sz w:val="24"/>
          <w:szCs w:val="24"/>
        </w:rPr>
        <w:br/>
        <w:t xml:space="preserve">The final part of my work, in which I give – de lege ferenda – my own views, presents a possible decision by the International Court of Justice.</w:t>
      </w:r>
      <w:r>
        <w:rPr>
          <w:color w:val="000000"/>
          <w:sz w:val="24"/>
          <w:szCs w:val="24"/>
        </w:rPr>
        <w:br/>
        <w:t xml:space="preserve">The incident has definite relevance to international law and politics. For the credibility and authenticity of my work, I used sources in English and Turkish. Concerning the importance of the subject, I should note that the current "wars" in the Middle East affect the entire international community encouraging it to find solutions as soon as possible to alleviate the situation.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786667">
    <w:multiLevelType w:val="hybridMultilevel"/>
    <w:lvl w:ilvl="0" w:tplc="279478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786667">
    <w:abstractNumId w:val="847866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446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