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BETTINA TAKÁCS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Bércesi</w:t>
            </w:r>
          </w:p>
          <w:p w:rsidR="00DB4822" w:rsidRDefault="00DB4822" w:rsidP="00E11062">
            <w:pPr>
              <w:pStyle w:val="Konzulensek"/>
            </w:pPr>
            <w:r w:rsidRPr="00DB4822">
              <w:t>Deputy of the Appellate Prosecutor,  Appellate Prosecution Service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Challenges of collective rights management in modern
Copyright Law. Divergent regulations concerning the maintenance and protection of artworks as digital contents in the European Union
</w:t>
      </w:r>
    </w:p>
    <w:p w:rsidR="00D71DF5" w:rsidRDefault="00D71DF5" w:rsidP="00AD2602">
      <w:pPr>
        <w:jc w:val="both"/>
      </w:pPr>
    </w:p>
    <w:p>
      <w:pPr>
        <w:pBdr/>
        <w:spacing w:before="240" w:after="240" w:line="240" w:lineRule="auto"/>
        <w:ind w:left="0" w:right="0"/>
        <w:jc w:val="left"/>
      </w:pPr>
      <w:r>
        <w:rPr>
          <w:color w:val="000000"/>
          <w:sz w:val="24"/>
          <w:szCs w:val="24"/>
        </w:rPr>
        <w:t xml:space="preserve">The improvement of modern technologies has a striking effect on everyday life. Through their application some contents or artworks falling under legal protection are utilized inevitably – albeit, not always deliberately. Techniques arising from rapid development thus provide more and more possibilities for the employment of artworks and law infringement – comprehensively analysed in the essay. The obvious consequence of these phenomena is the emergence and highly significant operation of collective rights management organizations.</w:t>
      </w:r>
      <w:r>
        <w:rPr>
          <w:color w:val="000000"/>
          <w:sz w:val="24"/>
          <w:szCs w:val="24"/>
        </w:rPr>
        <w:br/>
        <w:t xml:space="preserve">This essay, based on the aforementioned facts will examine the characteristics of collective rights management and the main pillars and directions of national and EU regulations regarding the activity of collective rights management organizations. Reference is made to their relations to Copyright law, Competition law and Constitutional law as well. It is stated that collective rights management is a special and beneficial way of law enforcement, in default of which a vast number of consumers would face – proportionally - infinitesimal authors. Its institution stretches back to a hundred years and it provides an integral part of national statutory law. The importance of collective rights managers is proved by the fact that their status is fully regulated under a distinct section of the act on Copyright law, a norm material that has been amended recently. The detailed analysis of the regulation is due to the firm development of law outlined in Committee documents reflecting a significant alteration of concepts. This fact indicates that the process keeps going on, since the relating draft for a law approximation directive was submitted by the Committee in the summer of 2012.</w:t>
      </w:r>
      <w:r>
        <w:rPr>
          <w:color w:val="000000"/>
          <w:sz w:val="24"/>
          <w:szCs w:val="24"/>
        </w:rPr>
        <w:br/>
        <w:t xml:space="preserve">The essay criticizes legislators’ new efforts with regard to the legal status of collective rights managers, since the almost 150-year old collective rights management based on the characteristics of copyright relations, presuming a monopoly position and territorial entitlement seems to break down in a short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29091">
    <w:multiLevelType w:val="hybridMultilevel"/>
    <w:lvl w:ilvl="0" w:tplc="47787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29091">
    <w:abstractNumId w:val="146290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4433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