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VIKTOR</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Csöndes Mónika</w:t>
            </w:r>
          </w:p>
          <w:p w:rsidR="00DB4822" w:rsidRDefault="00DB4822" w:rsidP="00E11062">
            <w:pPr>
              <w:pStyle w:val="Konzulensek"/>
            </w:pPr>
            <w:r w:rsidRPr="00DB4822">
              <w:t>tanársegéd,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esély elvesztésének problematikája a magyar kártérítési jog rendszerében</w:t>
      </w:r>
    </w:p>
    <w:p w:rsidR="00D71DF5" w:rsidRDefault="00D71DF5" w:rsidP="00AD2602">
      <w:pPr>
        <w:jc w:val="both"/>
      </w:pPr>
    </w:p>
    <w:p>
      <w:pPr>
        <w:pBdr/>
        <w:spacing w:before="240" w:after="240" w:line="240" w:lineRule="auto"/>
        <w:ind w:left="0" w:right="0"/>
        <w:jc w:val="left"/>
      </w:pPr>
      <w:r>
        <w:rPr>
          <w:color w:val="000000"/>
          <w:sz w:val="24"/>
          <w:szCs w:val="24"/>
        </w:rPr>
        <w:t xml:space="preserve">Az esély elvesztése, mint kár homályosan kísérti a jogalkalmazót. A bírói gyakorlatban találkozhatunk számos olyan esettel, amelyben az esély elvesztését a jogalkalmazó hátránynak, kárnak tekinti, mint a gyógyulási/túlélési esély elvesztése/csökkenése, a nyereség/nyerés esélyének az elvesztése, a pernyertesség esélyének az elvesztése, illetve a pályafutás esélyének az elvesztése.</w:t>
      </w:r>
      <w:r>
        <w:rPr>
          <w:color w:val="000000"/>
          <w:sz w:val="24"/>
          <w:szCs w:val="24"/>
        </w:rPr>
        <w:br/>
        <w:t xml:space="preserve">Érdeklődésemet a téma azért keltette fel, mert az esély elvesztését, mint kárt a Polgári Törvénykönyvről szóló 1959. évi IV. törvény nem szabályozza a kárfogalom keretei között. Pusztán amiatt, hogy a polgári anyagi jog nem szabályozza az esély elvesztését, mint kárt, nem következik, hogy az „nem is létezik”. Álláspontom szerint a legfőbb kérdés nem is az „esély-jelenség” mint kár létezése, avagy nem létezése, hanem az, hogy hova lehetne elhelyeznünk a kártérítési jog rendszerében.</w:t>
      </w:r>
      <w:r>
        <w:rPr>
          <w:color w:val="000000"/>
          <w:sz w:val="24"/>
          <w:szCs w:val="24"/>
        </w:rPr>
        <w:br/>
        <w:t xml:space="preserve">Elsőként azonban fel kell tenni a kérdést, hogy egyáltalán az esély elvesztése során a károsult olyan érdeksérelmet szenved-e, amely kártérítés címén reparálható? Ha igen, akkor vajon egy jogalkotási lépés, a kárfogalom tágítása megoldást jelenthet-e a problémára? Egyszerűnek tűnhet ez, hiszen a kárfogalom tágítása – vagy szűkítése – javarészt jogpolitikai kérdés. Ha azonban a kárfogalom tágítását elvetjük, mint lehetséges alternatívát, akkor adódik a kérdés, szubszumálható-e esetleg a kárfajták (elmaradt haszon, tényleges kár, költségek, nem vagyoni kár) valamelyike alá az esély elvesztése? Ha igen, akkor az esély elvesztésének fent említett esetcsoportjai melyik kárfajtához rendelhetők? Lehetőségként felvethető az is, hogy az okozatosság oldaláról vizsgáljuk meg az esély elvesztésének problematikáját.</w:t>
      </w:r>
      <w:r>
        <w:rPr>
          <w:color w:val="000000"/>
          <w:sz w:val="24"/>
          <w:szCs w:val="24"/>
        </w:rPr>
        <w:br/>
        <w:t xml:space="preserve">Tisztázandó az is, hogy ha az esély elvesztését a jogalkalmazó kárként megítéli, hogyan történhet meg a reparáció? A kárkötelmünk egyik alapelve a teljes kártérítés elve – a másik a káronszerzés tilalma –, amelyet azért szoktak a „mindent vagy semmit” elvvel azonosítani, mert a felelősségi feltételek fennállása esetén – elvileg – a károsult teljes kárát meg kell téríteni. Amennyiben azonban a felelősségi feltételek valamelyike nem teljesül, semmi nem illeti a károsultat. Feltehető így a kérdés, ha elfogadjuk az esély elvesztésének kárjellegét és reparálhatóságát, vajon a teljes kártérítés elve tartható, korlátozandó vagy elvetendő?</w:t>
      </w:r>
      <w:r>
        <w:rPr>
          <w:color w:val="000000"/>
          <w:sz w:val="24"/>
          <w:szCs w:val="24"/>
        </w:rPr>
        <w:br/>
        <w:t xml:space="preserve">Dolgozatomban a fent felvetett kérdések mentén gondolom tovább az esély elvesztésének kárként való megtéríthetőségét és az azzal kapcsolatos kételyeket Jójárt Eszter írásai alapján a magyar jogban, nem vizsgálva azonban a külföldi – sem a kontinentális, sem az angolszász – jogrendszerek megoldásait, joggyakorlatát.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94693">
    <w:multiLevelType w:val="hybridMultilevel"/>
    <w:lvl w:ilvl="0" w:tplc="80990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94693">
    <w:abstractNumId w:val="11894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7100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