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VIKTOR NAGY</w:t>
            </w:r>
          </w:p>
          <w:p w:rsidR="00C275A3" w:rsidRDefault="00A96AEC" w:rsidP="00C275A3">
            <w:pPr>
              <w:pStyle w:val="Hallgatokepzes"/>
            </w:pPr>
            <w:r>
              <w:t>lawyer</w:t>
            </w:r>
            <w:r>
              <w:br/>
            </w:r>
            <w:r w:rsidR="00E77B23">
              <w:t>Unified, 11.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Mónika Csöndes</w:t>
            </w:r>
          </w:p>
          <w:p w:rsidR="00DB4822" w:rsidRDefault="00DB4822" w:rsidP="00E11062">
            <w:pPr>
              <w:pStyle w:val="Konzulensek"/>
            </w:pPr>
            <w:r w:rsidRPr="00DB4822">
              <w:t>professor’s assistant,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problem of the loss of chance in the Hungarian law of damages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It can be alleged that the loss of chance as damage tempts the courts practice. The case law presents number of cases in which the loss of chance was evaluated by the judge as an injury, as damage. These are the decrease or loss of chance of recovery or survival, the loss of chance to win, the loss of chance to win the case, or the loss of chance to make a carrier.</w:t>
      </w:r>
      <w:r>
        <w:rPr>
          <w:color w:val="000000"/>
          <w:sz w:val="24"/>
          <w:szCs w:val="24"/>
        </w:rPr>
        <w:br/>
        <w:t xml:space="preserve">This subject aroused my interest, as the Civil Code does not contain any rule about it in the frame of the notion of damage. The mere fact, that civil law does not regulate the loss of chance as damage, it does not mean that it does not exist. According to my view the main question is not whether the loss of chance as damage exists or not, but the question how its place can be determined in the system of the law of damages.</w:t>
      </w:r>
      <w:r>
        <w:rPr>
          <w:color w:val="000000"/>
          <w:sz w:val="24"/>
          <w:szCs w:val="24"/>
        </w:rPr>
        <w:br/>
        <w:t xml:space="preserve">At first, nevertheless, the question shall be asked; whether in case of the loss of chance the injured party suffer such an injury which can be adjudged as damage. If yes, then it has to be decided whether it is an adequate solution by the legislator to broaden the notion of damage. This would seem a simple matter, as to broaden or narrow the notion of damage is a policy decision. If the answer to broaden the notion of the damage is rejected, then the question is whether the loss of chance can be classified under any component of the notion of damage. If yes, how the connection between the above mentioned types of the loss of chance cases and the component of the notion of damage can be established. It is also a given possibility to examine the loss of chance from the point of the causation.</w:t>
      </w:r>
      <w:r>
        <w:rPr>
          <w:color w:val="000000"/>
          <w:sz w:val="24"/>
          <w:szCs w:val="24"/>
        </w:rPr>
        <w:br/>
        <w:t xml:space="preserve">If the loss of chance is compensated as damage it should be clarified how the reparation can took place. The one underlying principle of the obligation to pay damages is the full reparation principle; the other is the prohibition of the benefiting from the loss. The former is often identified as the “all or nothing” principle because it means that if the conditions for liability are met; all damages suffered should be compensated. But, if any of the condition for the liability is not met, the injured party is not entitled to ask for compensation. This rule serves the interest both of the tortfeasor and the injured party. As far as the loss of chance is concerned, if its compensation as damage is accepted, the question is whether the full reparation principle can be upheld, or should be restricted or rejected?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701174">
    <w:multiLevelType w:val="hybridMultilevel"/>
    <w:lvl w:ilvl="0" w:tplc="883728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701174">
    <w:abstractNumId w:val="837011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24949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