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CZAPÁRI DÓRA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Nemessányi Zoltán</w:t>
            </w:r>
          </w:p>
          <w:p w:rsidR="00DB4822" w:rsidRDefault="00DB4822" w:rsidP="00E11062">
            <w:pPr>
              <w:pStyle w:val="Konzulensek"/>
            </w:pPr>
            <w:r w:rsidRPr="00DB4822">
              <w:t>adjunkus,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Rendelkezési elv az Európai Bíróság joggyakorlatában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bíróság - törvény eltérő rendelkezése hiányában - a felek által előterjesztett kérelmekhez és jognyilatkozatokhoz kötve van „. Vagy mégsem? Az Európai Bíróság több ítéletében is úgy tűnik figyelmen kívül hagyta ezt az alapelvet. Ugyanis a fogyasztói szerződésekből eredő perekben a nemzeti bíróságok kötelességévé tette, hogy hivatalból vizsgálja az illetékességi kikötés tisztességtelen jellegét akkor, ha tisztességtelenségnek a gyanúja csak felmerül. A Bíróság ítélete nem csak ebből a szempontból vet fel kérdéseket. Ugyanis a tagállami eljárási autonómia elvének ellentmondva, eljárási jogi kérdésben foglalt állást.</w:t>
      </w:r>
      <w:r>
        <w:rPr>
          <w:color w:val="000000"/>
          <w:sz w:val="24"/>
          <w:szCs w:val="24"/>
        </w:rPr>
        <w:br/>
        <w:t xml:space="preserve">A dolgozat először a rendelkezési elv történeti fejlődését vizsgálja, a liberális, szociális, szocialista pertípusban betöltött szerepét. Majd az unió joganyagának a tagállami jogra, pontosabban az eljárásjogra gyakorolt hatásaival foglalkozik, külön figyelmet szentelve az előzetes döntéshozatali eljárásnak. Természetesen az Európai Bíróságnak e témával kapcsolatos joggyakorlata is bemutatásra kerül. Végül azokat az érveket is sorra veszi, melyek alkalmasak lehetnek a Bíróság ítélete és a magyar jog közti összhang megteremtésére.</w:t>
      </w:r>
      <w:r>
        <w:rPr>
          <w:color w:val="000000"/>
          <w:sz w:val="24"/>
          <w:szCs w:val="24"/>
        </w:rPr>
        <w:br/>
        <w:t xml:space="preserve">Dolgozat érdemének tartom, hogy gyakorlati szempontból közelíti meg a problémát, konkrét esetekből indul ki. Továbbá a téma is aktuális, mivel nyolc évvel az Unióhoz való csatlakozásunk után egyre többekben felvetődik a kérdés, hogy érdemes-e az Európai Unióhoz, az alapvető elveihez a közeledés, és a harmonizáció az állampolgárok érdekeit szolgálja-e akkor is, ha bizonyos mértékben a tagállami jogalkotót korlátok közé szorítja.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473368">
    <w:multiLevelType w:val="hybridMultilevel"/>
    <w:lvl w:ilvl="0" w:tplc="51376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473368">
    <w:abstractNumId w:val="374733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39709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