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CZAPÁRI</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Nemessányi</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Principles of ruling in the routine of the European Court of Justice</w:t>
      </w:r>
    </w:p>
    <w:p w:rsidR="00D71DF5" w:rsidRDefault="00D71DF5" w:rsidP="00AD2602">
      <w:pPr>
        <w:jc w:val="both"/>
      </w:pPr>
    </w:p>
    <w:p>
      <w:pPr>
        <w:pBdr/>
        <w:spacing w:before="240" w:after="240" w:line="240" w:lineRule="auto"/>
        <w:ind w:left="0" w:right="0"/>
        <w:jc w:val="left"/>
      </w:pPr>
      <w:r>
        <w:rPr>
          <w:color w:val="000000"/>
          <w:sz w:val="24"/>
          <w:szCs w:val="24"/>
        </w:rPr>
        <w:t xml:space="preserve">”The court – in lack of contrary ruling by the law - is bound to the statements and pleas made by the parties.” Or is it? It seems that the Europen Court of Justice has ignored this principle in many of its verdicts. As in the lawsuits involving consumer contracts, it made it the responsibility of the national courts to investigate the fraudulent nature of jurisdiction and forum selection ex officio, even if the suspicion of fraudulence emerges. The verdict of the European Court does not raise questions only in this respect. As, in contradiction to the principles of autonomy in procedure, it took a stand in issues regarding procedural law.</w:t>
      </w:r>
      <w:r>
        <w:rPr>
          <w:color w:val="000000"/>
          <w:sz w:val="24"/>
          <w:szCs w:val="24"/>
        </w:rPr>
        <w:br/>
        <w:t xml:space="preserve">This paper examines the historical development of ruling principles, and its role in liberal, social and socialist lawsuit types. Then it deals with the influence of European Union Law on the member states’ law, or more precisely the procedural law, with special attention to the preliminary decision-making procedures. The practice of the European Court of Justice in this fields is to be presented as well. Ultimately, the paper also examines the arguments, which might be suitable for creating accord between the European Court’s verdicts and the Hungarian law.</w:t>
      </w:r>
      <w:r>
        <w:rPr>
          <w:color w:val="000000"/>
          <w:sz w:val="24"/>
          <w:szCs w:val="24"/>
        </w:rPr>
        <w:br/>
        <w:t xml:space="preserve">I consider it the merit of this paper, that it approaches this problem from a practical aspect, based on concrete examples. Furthermore, the subject of the paper is relevant, as eight years after our accession to the EU, many address the question, whether it is worth getting closer to the EU and its basic principles, and whether this harmonization serves the interest of the citizens, even if it restricts the legislation of the member state to some extent.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44010">
    <w:multiLevelType w:val="hybridMultilevel"/>
    <w:lvl w:ilvl="0" w:tplc="40288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44010">
    <w:abstractNumId w:val="66744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861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