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DEZSŐ LILI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Jusztinger János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kézművesek specificatiója útján megvalósuló vállalkozási szerződések az ókori Rómában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ókori vállalkozási szerződések közül a pályamű azokat a contractusokat vizsgálja, amelyekben a kézműves a megrendelő által átadott materiából egy gazdaságilag új dolgot állít elő. Az elemzett forrásokban szereplő, luxuscikkeket készítő kézművesek a diatretarius, a gemmarius és az aurifex, az ő tevékenységük kötelmi és dologi jogi vetületeit elemezzük.</w:t>
      </w:r>
      <w:r>
        <w:rPr>
          <w:color w:val="000000"/>
          <w:sz w:val="24"/>
          <w:szCs w:val="24"/>
        </w:rPr>
        <w:br/>
        <w:t xml:space="preserve">Elsőként azokat a gazdasági körülményeket mutatjuk be, amelyek hozzájárultak az i. e. III.-II. században egy öntudatos kézműves réteg kialakulásához, majd a későbbi évszázadok során a felvirágzásához és hanyatlásához.</w:t>
      </w:r>
      <w:r>
        <w:rPr>
          <w:color w:val="000000"/>
          <w:sz w:val="24"/>
          <w:szCs w:val="24"/>
        </w:rPr>
        <w:br/>
        <w:t xml:space="preserve">Ezt követően ismertetjük a specificatióval kapcsolatos eltérő jogtudósi álláspontokat. A szabiniánus és a prokuliánus iskola nézetét is összeegyeztetjük a „non solet locatio dominium mutare” elvével. E feladat a szabiniánus nézőpont esetén nem vet fel különösebb problémát, ők ugyanis az alapanyag tulajdonosát tekintették a nova species tulajdonosának is. A prokuliánusok esetében – akik a jóhiszemű feldolgozónak juttatták az új dolog tulajdonjogát – a képviselő útján történő feldolgozás elfogadásával oldható fel az ellentmondás.</w:t>
      </w:r>
      <w:r>
        <w:rPr>
          <w:color w:val="000000"/>
          <w:sz w:val="24"/>
          <w:szCs w:val="24"/>
        </w:rPr>
        <w:br/>
        <w:t xml:space="preserve">A D. 9, 2, 27, 29 és a D. 19, 2, 13, 5 forráshely elemzése során a luxuscikkeket gyártó kézművesek szakmájában kialakult sajátos veszélyviselési és felelősségi szabályokat vizsgáljuk. A vállalkozási szerződésnél a klauzulák tartalma nagymértékben függött a kézművesektől megkövetelt jártasság fokától és a mesterek keresettségétől. A veszélyviselési szabályokkal magyarázható, hogy a luxustermékeket miért vállalkozási szerződés és miért nem adásvétel keretében állították elő.</w:t>
      </w:r>
      <w:r>
        <w:rPr>
          <w:color w:val="000000"/>
          <w:sz w:val="24"/>
          <w:szCs w:val="24"/>
        </w:rPr>
        <w:br/>
        <w:t xml:space="preserve">Végül elhatároljuk a specificatióval járó vállalkozási szerződést az emptio rei futuraetől és a contractus innominatitól. Előbbitől a megrendelő által szállított alapanyag, utóbbitól pedig a pénzben álló ellenszolgáltatás különbözteti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532173">
    <w:multiLevelType w:val="hybridMultilevel"/>
    <w:lvl w:ilvl="0" w:tplc="70295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532173">
    <w:abstractNumId w:val="935321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69378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