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DEZSŐ</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Jusztinger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Supply contracts materialized by the specificatio of the craftsmen in the antique Rome</w:t>
      </w:r>
    </w:p>
    <w:p w:rsidR="00D71DF5" w:rsidRDefault="00D71DF5" w:rsidP="00AD2602">
      <w:pPr>
        <w:jc w:val="both"/>
      </w:pPr>
    </w:p>
    <w:p>
      <w:pPr>
        <w:pBdr/>
        <w:spacing w:before="240" w:after="240" w:line="240" w:lineRule="auto"/>
        <w:ind w:left="0" w:right="0"/>
        <w:jc w:val="left"/>
      </w:pPr>
      <w:r>
        <w:rPr>
          <w:color w:val="000000"/>
          <w:sz w:val="24"/>
          <w:szCs w:val="24"/>
        </w:rPr>
        <w:t xml:space="preserve">The study examines those contracts from the antique supply contracts in which the craftsman produces an economically new product from the materia given by the procurer. In the analised sources we examine the substantial and the obligatory legal aspects of the pursuit of the craftsmen producing the luxury goods the diatretiarius, the gemmarius and the aurifex.</w:t>
      </w:r>
      <w:r>
        <w:rPr>
          <w:color w:val="000000"/>
          <w:sz w:val="24"/>
          <w:szCs w:val="24"/>
        </w:rPr>
        <w:br/>
        <w:t xml:space="preserve">At first those economical circumstances are submitted, which in the III.-II. century BC contributed to the evolution of a self-conscious craftsman stratification and in the later centuries to the recovery and the decadence.</w:t>
      </w:r>
      <w:r>
        <w:rPr>
          <w:color w:val="000000"/>
          <w:sz w:val="24"/>
          <w:szCs w:val="24"/>
        </w:rPr>
        <w:br/>
        <w:t xml:space="preserve">The following part of the study contains the variant attitudes of the scientists of law. The theory of the sabinian and the proculian school are compared with the disciple of the „non solet locatio dominium mutare”, which does not raise a question in the correlation of the sabinian view because of that fact the sabinians regarded the possessor of the raw material as the possessor of the nova species. In case of the proculians – who allocates the ownwership of the new object to the confinding processor – it can be carried out with the apporval of the processing by the representative.</w:t>
      </w:r>
      <w:r>
        <w:rPr>
          <w:color w:val="000000"/>
          <w:sz w:val="24"/>
          <w:szCs w:val="24"/>
        </w:rPr>
        <w:br/>
        <w:t xml:space="preserve">In the course of the examination of the sources of D. 9, 2, 27, 29 and the D. 19, 2, 13, 5 we study the special rules of bearing of the risk and accountability occuring in the trade of the luxury goods producer craftsmen. By the supply contracts the content of the clauses depended substantianlly on the required extent of the cunning of the craftsmen and the vendibility of the artificers. With rules of bearing of the risk can be interpreted that the luxury goods are produced through the supply contracts and not through the sales contracts.</w:t>
      </w:r>
      <w:r>
        <w:rPr>
          <w:color w:val="000000"/>
          <w:sz w:val="24"/>
          <w:szCs w:val="24"/>
        </w:rPr>
        <w:br/>
        <w:t xml:space="preserve">Terminally the supply contracts with specificatio are terminated from the emptio rei futurae and from the contractus innominati. From the prior it varies in the raw material carried by the procurer, and from the later varies in the pecuniary reward.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74705">
    <w:multiLevelType w:val="hybridMultilevel"/>
    <w:lvl w:ilvl="0" w:tplc="60505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74705">
    <w:abstractNumId w:val="978747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219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