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HEGEDÜS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László Szőke</w:t>
            </w:r>
          </w:p>
          <w:p w:rsidR="00DB4822" w:rsidRDefault="00DB4822" w:rsidP="00E11062">
            <w:pPr>
              <w:pStyle w:val="Konzulensek"/>
            </w:pPr>
            <w:r w:rsidRPr="00DB4822">
              <w:t>junior research fellow,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Data Subjects’ Rights in the European Union</w:t>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paper is to outline the crucial importance of the most recent reform of data protection regulation proposed by the European Commission concerning the rights of the data subjects. Globalisation and technological development have brought new challenges for data protection which has to be addressed nowadays. More and more people use the Internet daily, also social networks have changed the way people share personal information. In this fast-changing environment the collection, processing, storage of data and access to data changed greatly, therefore retaining effective control over individuals’ personal data is important. The importance of respecting individual’s fundamental rights, the protection of personal data asks for clarified and strengthened data protection and harmonization in the European Union. Analysing the new legal framework and taking into account the concerning initial responses about the protection of individuals with regard to the processing of personal data the Commission’s proposal stands as a strong enforcement that will put citizens in control of their own data. The paper focuses on the effect of the regulation, the rights of the data subjects and the obligations of data processors.</w:t>
      </w:r>
      <w:r>
        <w:rPr>
          <w:color w:val="000000"/>
          <w:sz w:val="24"/>
          <w:szCs w:val="24"/>
        </w:rPr>
        <w:br/>
        <w:t xml:space="preserve">The European Commission found that a “Regulation,” as opposed to a “Directive,” was the most appropriate legal instrument to define the new framework. The regulation is directly and universally applicable by the Member States and therefore it provides a high level of protection of privacy with laying down the core principles of data protection. The key changes compared to Directive 95/46/EC include increased transparency of data processing, stricter controller's informational obligations towards the data subjects, individuals’ right to data portability, explicit consent being required. As another new implementation the “right to be forgotten and erasure” will enable people to delete their data if there are no legitimate grounds for retaining it. These and even further changes aim to strengthen online privacy rights and boost Europe's digital economy. It is worth looking into how the aforementioned far-reaching changes will apply EU-wide.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86925">
    <w:multiLevelType w:val="hybridMultilevel"/>
    <w:lvl w:ilvl="0" w:tplc="60795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86925">
    <w:abstractNumId w:val="75186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228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