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HEGEDÜS ANDREA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Szőke Gergely László</w:t>
            </w:r>
          </w:p>
          <w:p w:rsidR="00DB4822" w:rsidRDefault="00DB4822" w:rsidP="00E11062">
            <w:pPr>
              <w:pStyle w:val="Konzulensek"/>
            </w:pPr>
            <w:r w:rsidRPr="00DB4822">
              <w:t>tudományos segédmunkatárs,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érintettek jogai az Európai Unióban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hogy felvázolja az Európai Bizottság legújabb adatvédelmi reformjának az érintettekre gyakorolt hatását. A globalizációnak és a technológia gyors fejlődésének köszönhető, hogy az adatvédelem egyre inkább előtérbe kerül a mindennapokban. Az Internet térnyerésével például a mindennapi élet részévé vált a közösségi portálokon történő információ-megosztás, ezen kívül átalakult a személyes adatok gyűjtésének, hozzáférhetőségének, felhasználásának és továbbításának módja is. Ahhoz, hogy az érintettek tényleges ellenőrzést gyakorolhassanak adataik felett, az egész Unióra kiterjedő, korszerű és következetes szabályokra van szükség. A személyek alapvető jogainak tiszteletben tartása megköveteli az egységes és világos adatvédelmi szabályok alkalmazását és harmonizációját az Európai Unióban. Fontos megvizsgálni, hogy az új jogi keret (a Bizottság által javasolt általános adatvédelmi rendelet) milyen módon képes saját adataik ellenőrzését biztosítani az állampolgárok számára. A dolgozat a rendelet hatásaira, az érintettek jogaira és az adatkezelők kötelezettségeire összpontosít.</w:t>
      </w:r>
      <w:r>
        <w:rPr>
          <w:color w:val="000000"/>
          <w:sz w:val="24"/>
          <w:szCs w:val="24"/>
        </w:rPr>
        <w:br/>
        <w:t xml:space="preserve">Jelentős változás a korábbi szabályozáshoz képest a jogforrási forma, a rendelet, amely átültetés nélkül is teljes egészében kötelező, közvetlenül alkalmazandó és közvetlenül hatályos valamennyi tagállamban. Az adatvédelem alapelveinek lefektetésével és a korábbi szabályozás bővítésével együtt ezért egységesebb szabályozást biztosít az érintettek számára az új javaslat. Az 1995-ös uniós adatvédelmi szabályokhoz képest kulcsfontosságú változások magukban foglalják az adatkezelés átláthatóságának növelését, az adatkezelő tájékoztatási kötelezettségeinek szigorodását az érintettek felé, az érintettek adatok hordozhatóságához való jogát, a hozzájárulás szabályainak szigorodását. Az újításként megjelenő „személyes adatok tárolásának megszüntetése” az érintetteknek különösen azt a jogot biztosítja, hogy személyes adataikat töröljék, és ne kezeljék akkor, ha az adatok megőrzésére jogalap már nem áll fenn. Ezen új szabályt a „felejtéshez való jogként” említik a források, amellyel kapcsolatban sok eltérő álláspont alakult ki, így a dolgozatban nagyobb hangsúlyt fektettem e szabály értékelésére. Ezek és a további változások is a magánélet védelmének erősítését szolgálják, és lendületet adnak az európai digitális gazdaság fejlődésének. Érdemes áttekinteni, hogy a fent említett messze nyúló változásoknak milyen hatása lehet EU-szerte.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10771">
    <w:multiLevelType w:val="hybridMultilevel"/>
    <w:lvl w:ilvl="0" w:tplc="73881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10771">
    <w:abstractNumId w:val="594107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0659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