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CSEH</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Antal Visegrády</w:t>
            </w:r>
          </w:p>
          <w:p w:rsidR="00DB4822" w:rsidRDefault="00DB4822" w:rsidP="00E11062">
            <w:pPr>
              <w:pStyle w:val="Konzulensek"/>
            </w:pPr>
            <w:r w:rsidRPr="00DB4822">
              <w:t>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coexistence of traditional religion law and codified state law</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According to 2009 German data 4,3 million Muslims live in Germany which is 5,4% of the population. This number or ratio is constantly growing. Their integration into German society is very important and necessary and naturally it can best be accomplished by the law. However the basic differences between the Islamic religious rights they brought with themselves and the German law they are unfamiliar with hinder their integration. There is a struggle between the two law systems in respect of emergence and effectiveness. The paper is focusing on this problem in the context of law theory.</w:t>
      </w:r>
      <w:r>
        <w:rPr>
          <w:color w:val="000000"/>
          <w:sz w:val="24"/>
          <w:szCs w:val="24"/>
        </w:rPr>
        <w:br/>
        <w:t xml:space="preserve">For the state to accept The Islamic religion law a complete reconstruction of the codified law would be necessary. The revising of rights in constitutional law would be needed from the German side which seems impossible in their current spirit of Western superiority. The Islamic religion is an annunciated religion without a central church who oversees religious standards therefore it cannot change its religious doctrines, norms or rights in order to better coexist with codified German state law.</w:t>
      </w:r>
      <w:r>
        <w:rPr>
          <w:color w:val="000000"/>
          <w:sz w:val="24"/>
          <w:szCs w:val="24"/>
        </w:rPr>
        <w:br/>
        <w:t xml:space="preserve">Complete integration of laws or assimilation is not possible due to religious beliefs, religiosity and faith. The communities are unable to fully identify with the norms of religion law because they have a continuous effect on people’s everyday lives, customs and thought processes. An ordinary norm of law loses influences sooner and easier than a norm supported with strong religious beliefs. Commandments of God are more important to the majority of society even nowadays than state laws. This is even more of a trend in Islamic communities. Therefore norms of church law have a very strong effect, their effectiveness is major.</w:t>
      </w:r>
      <w:r>
        <w:rPr>
          <w:color w:val="000000"/>
          <w:sz w:val="24"/>
          <w:szCs w:val="24"/>
        </w:rPr>
        <w:br/>
        <w:t xml:space="preserve">The new law environment can only affect the immigrants if they are accepted into society and do not form separate micro-communities. These isolated micro-communities undermine the authority of the law and decrease its effectiveness and emergence. Moreover, the sub-cultural laws of communities which are a kind of pseudo-law competing with state law and in some cases it has a negative effect in the practice of law. I believe that a solution can be found through the theoretical and philosophical approach of jurisprudence. Therefore a need for further study of the topic is justified and expected from the whole lawyer community.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228243">
    <w:multiLevelType w:val="hybridMultilevel"/>
    <w:lvl w:ilvl="0" w:tplc="247169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228243">
    <w:abstractNumId w:val="702282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57080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