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LAUFER HENRIK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István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csődbűncselekmény új szabályozásának kritikai elemzése az elmélet és a gyakorlat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csődbűncselekmény kritikai elemzése, melynél fogva a bűncselekmény meglévő és lehetséges gyakorlati problémáira hívja fel a figyelmet. Szükségesen tartom kiemelni, hogy egy bűncselekmény teljes, átfogó elemzése megkívánja annak teljes történeti áttekintését, valamint a törvényszöveg feltüntetését. Azonban - jelen esetben - a terjedelemi korlátozás csak a bűncselekménnyel kapcsolatos releváns dogmatikai és gyakorlati gondolatok kifejtésére késztet.</w:t>
      </w:r>
      <w:r>
        <w:rPr>
          <w:color w:val="000000"/>
          <w:sz w:val="24"/>
          <w:szCs w:val="24"/>
        </w:rPr>
        <w:br/>
        <w:t xml:space="preserve">A csődtörvény elsődleges célja a csődvédelem ernyőjének kiterjesztése, végső soron egy védett állapot megteremtése az adósokra nézve, melynek célja a reorganizáció, valamint ennek hiányában a mihamarabbi felszámolás, kilépés a gazdasági életből. Viszont az ernyőn túl ott van a Btk. csődbűncselekményre vonatkozó rendelkezése, amely épp az adósokkal ellentétben a hitelezőket részesíti védelemben arra az esetre, ha az adós visszaél a védett helyzetével. Amennyiben nem a megfelelő norma kerül alkalmazásra – amelyre majd a későbbiekben látni fogjuk ma a törvények fogyatékossága ad jogalapot – a gazdaságban hatalmas károkat tud okozni.</w:t>
      </w:r>
      <w:r>
        <w:rPr>
          <w:color w:val="000000"/>
          <w:sz w:val="24"/>
          <w:szCs w:val="24"/>
        </w:rPr>
        <w:br/>
        <w:t xml:space="preserve">A csődbűncselekmény szabályozása dogmatikailag pontosan szerkesztett. A háttérnorma, valamint a Btk. együttes használatát a magyar bírói gyakorlat megszokta, az egyes bírói határozatok alapján kiforrottnak látszik e gazdasági bűncselekmény gyakorlata, noha „de lege feranda” javaslatok pont az egyes hiányosságokra, pontatlanságokra hívják fel a figyelmet. Itt emelném ki az elkövetési értékhatár hiányát, amely lehetővé teszi az eljárás megindítását azokban az esetekben is, amelyekben a hitelezői csekély kárra tekintettel – amely akár 1 Ft is lehet – a büntetőeljárás perökonómiailag nem lenne indokolt. Emellett nem lehet elégszer hangsúlyozni a fizetésképtelenség fogalmi rendszerének elhibázottságát, amely nehézkessé, bizonyos esetekben pedig lehetetlenné teheti a felelősségre vonást. Említést érdemel még a bűncselekmény minősített esetével kapcsolatban annak szubjektivitása, noha az új törvény elkészítői belátva e problémát, objektív mértéket is beültetettek a törvényi tényállásba vagylagos feltételként. E dolgozat még az új törvény hatálybalépése előtt elébe megy e gyakorlatban felmerülő lehetséges problémáknak.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50705">
    <w:multiLevelType w:val="hybridMultilevel"/>
    <w:lvl w:ilvl="0" w:tplc="87134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50705">
    <w:abstractNumId w:val="90750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587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