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HENRIK LAUFER</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László Gál</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critical analysis of the new regulation of the bankruptcy crime in the mirror of theory and practice</w:t>
      </w:r>
    </w:p>
    <w:p w:rsidR="00D71DF5" w:rsidRDefault="00D71DF5" w:rsidP="00AD2602">
      <w:pPr>
        <w:jc w:val="both"/>
      </w:pPr>
    </w:p>
    <w:p>
      <w:pPr>
        <w:pBdr/>
        <w:spacing w:before="240" w:after="240" w:line="240" w:lineRule="auto"/>
        <w:ind w:left="0" w:right="0"/>
        <w:jc w:val="left"/>
      </w:pPr>
      <w:r>
        <w:rPr>
          <w:color w:val="000000"/>
          <w:sz w:val="24"/>
          <w:szCs w:val="24"/>
        </w:rPr>
        <w:t xml:space="preserve">Present work is a critical analysis of the new regulation of the bankruptcy crime; therefore it draws attention to the practical problems of the crime. It is necessary to mention that; if you analyze a crime first of all you must take a historical outlook and indicate the legal text. However, in this case the size limit of the competition made me express only the relevant doctrinal and practical ideas of the offence.</w:t>
      </w:r>
      <w:r>
        <w:rPr>
          <w:color w:val="000000"/>
          <w:sz w:val="24"/>
          <w:szCs w:val="24"/>
        </w:rPr>
        <w:br/>
        <w:t xml:space="preserve">The primary purpose of the insolvency law is the protection of the debtors, eventually a creation of a protected status. In this light, the first goal is to reorganize or in the lack of that the liquidation, leaving the economic life. On the other hand, there is the Criminal Code and the regulation of the bankruptcy crime, which protect the creditors quite contrary to the debtors, when they abuse with their protected status and they want to rescue the property. If were not applied the right norms, it would cause irretrievable damage in the economy. Later as it will be seen, the disability of the laws provide legal basis.</w:t>
      </w:r>
      <w:r>
        <w:rPr>
          <w:color w:val="000000"/>
          <w:sz w:val="24"/>
          <w:szCs w:val="24"/>
        </w:rPr>
        <w:br/>
        <w:t xml:space="preserve">The regulation of the bankruptcy crime is dogmatically well-constructed. The hungarian judicial practice is accustomed to use at once the Criminal Code and the background norm. It can be said - based on the individual judicial decisions -, that this crime has a very unified practice, but some proposal and idea focus for deficiencies and inaccuracies of the crime. For example we can mention the lack of the value limit of the commission, which enables to start criminal proceedings in those cases, when for example the damage is 1 HUF. In my point of view, this is not justified in the economic point of lawsuit. Beside this we must focus for the wrong definition of insolvent. This definition makes difficult, sometimes impossible impeachments. Finally I would like to note the subjective qualified case. Although the new regulation has some objective points also, but in my opinion, it is not appropriate. This thesis anticipates the practical problems before the new regulation came into force.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867464">
    <w:multiLevelType w:val="hybridMultilevel"/>
    <w:lvl w:ilvl="0" w:tplc="671673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867464">
    <w:abstractNumId w:val="628674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60467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