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POLGÁR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Hornyák</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Rowdyism</w:t>
      </w:r>
    </w:p>
    <w:p w:rsidR="00D71DF5" w:rsidRDefault="00D71DF5" w:rsidP="00AD2602">
      <w:pPr>
        <w:jc w:val="both"/>
      </w:pPr>
    </w:p>
    <w:p>
      <w:pPr>
        <w:pBdr/>
        <w:spacing w:before="240" w:after="240" w:line="240" w:lineRule="auto"/>
        <w:ind w:left="0" w:right="0"/>
        <w:jc w:val="left"/>
      </w:pPr>
      <w:r>
        <w:rPr>
          <w:color w:val="000000"/>
          <w:sz w:val="24"/>
          <w:szCs w:val="24"/>
        </w:rPr>
        <w:t xml:space="preserve">Those violent actions, which harm the measures of coexeistence, are not only dangerous for the individuals, but also for the society. This type of actions are prohibited since the beginning of the history of mankind.</w:t>
      </w:r>
      <w:r>
        <w:rPr>
          <w:color w:val="000000"/>
          <w:sz w:val="24"/>
          <w:szCs w:val="24"/>
        </w:rPr>
        <w:br/>
        <w:t xml:space="preserve">Rowdyism is regulated in the IV. Act of 1978 at the moment. The lawmaker – unlike the former once – settled a definite element (violence) into the new fact of rowdyism, in order to narrow the criminal conducts. But still, most of the elements of this fact are very subjective (able to cause outrcy, panic, anti-community acts).</w:t>
      </w:r>
      <w:r>
        <w:rPr>
          <w:color w:val="000000"/>
          <w:sz w:val="24"/>
          <w:szCs w:val="24"/>
        </w:rPr>
        <w:br/>
        <w:t xml:space="preserve">Although, the definition of rowdyism have not been reformed since it has been created, we should not think, that it is perfect, and it does not need to be changed. In my personal opinion, rowdyism should be regulated as a material fact. Also I do believe, that the courts should judge the result of the delict by the personal jugdement of that small community, which were presented in the crime scene, so the judges should not examine the objective ability of the act, whether it can cause panic or not.</w:t>
      </w:r>
      <w:r>
        <w:rPr>
          <w:color w:val="000000"/>
          <w:sz w:val="24"/>
          <w:szCs w:val="24"/>
        </w:rPr>
        <w:br/>
        <w:t xml:space="preserve">In my opinion, a new definiton of the fact, with the guidelines - proof by the practice - of the Hungarian Supreme Court (Curia) can satisfactorily regulate the legal subject of rowdyism. This new regulation, should be stated in the Criminal Code, due to it’s level of dangerousness against society. But if we look at the current practice, we can see that if rowdyism is judged as a minor offence, the offenders usually sentenced to financial penalty, but if it is judged as a misdemeanor the offenders are usually punished milder (with reprimand or probation).</w:t>
      </w:r>
      <w:r>
        <w:rPr>
          <w:color w:val="000000"/>
          <w:sz w:val="24"/>
          <w:szCs w:val="24"/>
        </w:rPr>
        <w:br/>
        <w:t xml:space="preserve">In the short history of rowdyism, it exsisted in many forms, yet none of this forms has reached the recognition of the lawyer’s society in Hungary. Still the many contradicion theorys, the subjective elements, the incoherent practice make this crime very exciting, yet it’s future and effectivness are doubtful.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89172">
    <w:multiLevelType w:val="hybridMultilevel"/>
    <w:lvl w:ilvl="0" w:tplc="75861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89172">
    <w:abstractNumId w:val="391891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8350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