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Hornyák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garázdaság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garázda magatartások erőszakos, a közösségi együttélés szabályait durván sértő, felháborodást okozó cselekmények, melyek nem csak egyes személyekre, hanem a közösségre is veszélyesek. Ezen magatartások ellen már a történelem kezdetén felléptek a köznyugalom biztosítása érdekében.</w:t>
      </w:r>
      <w:r>
        <w:rPr>
          <w:color w:val="000000"/>
          <w:sz w:val="24"/>
          <w:szCs w:val="24"/>
        </w:rPr>
        <w:br/>
        <w:t xml:space="preserve">A garázdaságot jelenleg az 1978. évi IV. törvény szabályozza. A jogalkotó a korábbi szabályozásoktól eltérően határozott tényállási elemként beépítette az erőszakot, így szűkült az elkövetési magatartások tág köre, azonban még így is több szubjektív elem maradt a tényállásban (kihívó közösségellenesség, riadalom, botrány okozására való alkalmasság), melyek hátráltatják az egységes ítélkezési gyakorlat kialakulását.</w:t>
      </w:r>
      <w:r>
        <w:rPr>
          <w:color w:val="000000"/>
          <w:sz w:val="24"/>
          <w:szCs w:val="24"/>
        </w:rPr>
        <w:br/>
        <w:t xml:space="preserve">Bár a jelenleg hatályos Btk.-ban a garázdaság definíciója a megalkotása óta nem változott, mégsem hihetjük azt, hogy hibátlan és nem szorul semmilyen változtatásra. Véleményem szerint szükségszerű lenne materiális bűncselekményként szabályozni a garázdaság tényállását. Emellett álláspontom szerint az eredményt mindig a jelenlévők, azaz a szűkebb mikroközösség értékítélete szerint lenne szükséges megítélnie a bíróságnak, és nem a cselekmény objektív alkalmasságát kellene vizsgálnia.</w:t>
      </w:r>
      <w:r>
        <w:rPr>
          <w:color w:val="000000"/>
          <w:sz w:val="24"/>
          <w:szCs w:val="24"/>
        </w:rPr>
        <w:br/>
        <w:t xml:space="preserve">Véleményem szerint egy új törvényi tényállás, a Legfelsőbb Bíróság (Kúria) egységes, a gyakorlatban bevált iránymutatásaival megerősítve, képes lenne megnyugtató módon szabályozni a védendő jogi tárgyat. Ezen új tényállás szabályozását mindenképpen a Btk. berkein belül tartom szükségesnek a társadalomra való veszélyességére tekintettel. Bár elképzelhető, hogy szabálysértésként szabályozva súlyosabb büntetésekkel néznének szembe az elkövetők, mert míg szabálysértéseknél döntően pénzbüntetést szabnak ki, garázdaság bűncselekménye esetén gyakori a próbára bocsátás és a megrovás alkalmazása.</w:t>
      </w:r>
      <w:r>
        <w:rPr>
          <w:color w:val="000000"/>
          <w:sz w:val="24"/>
          <w:szCs w:val="24"/>
        </w:rPr>
        <w:br/>
        <w:t xml:space="preserve">A garázdaság rövid hazai története során számos formában létezett, és máig nem sikerült egy olyan tényállást alkotni, mely elnyerte volna a jogásztársadalom elismerését. A sok ellentmondásos elmélet, a parttalan, szubjektív meghatározások, az inkoherens bírói gyakorlat teszi mégis a garázdaságot egy izgalmas tényállássá, melynek jövője és hatékonysága mégis sokszor kétséges.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87079">
    <w:multiLevelType w:val="hybridMultilevel"/>
    <w:lvl w:ilvl="0" w:tplc="73725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87079">
    <w:abstractNumId w:val="60387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207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