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UJHELYI</w:t>
            </w:r>
          </w:p>
          <w:p w:rsidR="00C275A3" w:rsidRDefault="00A96AEC" w:rsidP="00C275A3">
            <w:pPr>
              <w:pStyle w:val="Hallgatokepzes"/>
            </w:pPr>
            <w:r>
              <w:t>Legal Studies for Regular Students</w:t>
            </w:r>
            <w:r>
              <w:br/>
            </w:r>
            <w:r w:rsidR="00E77B23">
              <w:t>Unified, 9.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Anett Pogacsas</w:t>
            </w:r>
          </w:p>
          <w:p w:rsidR="00DB4822" w:rsidRDefault="00DB4822" w:rsidP="00E11062">
            <w:pPr>
              <w:pStyle w:val="Konzulensek"/>
            </w:pPr>
            <w:r w:rsidRPr="00DB4822">
              <w:t>assistant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Disfunctions and their Solutions in Digital Copyright Law</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papers fundamental thesis is that through the digital era’s challenges, copyright law is in a crisis-like state.</w:t>
      </w:r>
    </w:p>
    <w:p>
      <w:pPr>
        <w:pBdr/>
        <w:spacing w:before="240" w:after="240" w:line="240" w:lineRule="auto"/>
        <w:ind w:left="0" w:right="0"/>
        <w:jc w:val="left"/>
      </w:pPr>
      <w:r>
        <w:rPr>
          <w:color w:val="000000"/>
          <w:sz w:val="24"/>
          <w:szCs w:val="24"/>
        </w:rPr>
        <w:br/>
        <w:t xml:space="preserve">Therefore, I seek out and analyze the major symptoms that point out to this, like the metaphors and definitions used in copyright law – property and pirate –, file-sharing – especially the 3rd generation –, collective rights management, ACTA treaty, the actual term of protection, three-strikes methods and protection measure.</w:t>
      </w:r>
    </w:p>
    <w:p>
      <w:pPr>
        <w:pBdr/>
        <w:spacing w:before="240" w:after="240" w:line="240" w:lineRule="auto"/>
        <w:ind w:left="0" w:right="0"/>
        <w:jc w:val="left"/>
      </w:pPr>
      <w:r>
        <w:rPr>
          <w:color w:val="000000"/>
          <w:sz w:val="24"/>
          <w:szCs w:val="24"/>
        </w:rPr>
        <w:br/>
        <w:t xml:space="preserve">After this I delineate the Hungarian and international solutions, alternatives and legal models, that may have an answer for the disfunctions. Csaba Sár, Ákos Kőhidi and Peter Mezei are mentioned from the Hungarian legal writers. From the international scene I process – for example – Jessica Litman’s, Matthew Hofmeister’s, Peter K. Yu’s and Greg Lastowka’s works.</w:t>
      </w:r>
    </w:p>
    <w:p>
      <w:pPr>
        <w:pBdr/>
        <w:spacing w:before="240" w:after="240" w:line="240" w:lineRule="auto"/>
        <w:ind w:left="0" w:right="0"/>
        <w:jc w:val="left"/>
      </w:pPr>
      <w:r>
        <w:rPr>
          <w:color w:val="000000"/>
          <w:sz w:val="24"/>
          <w:szCs w:val="24"/>
        </w:rPr>
        <w:br/>
        <w:t xml:space="preserve">Lastly as the main part of my paper I sketch up a new, synthetic, and workable alternative legal model, in which I suggest the reform the fundamental definitions of copyright law, the radical reduction of the terms of protection, the separation of the copyright protection and answering the legal questions of file-sharing. During this I pay attention to set the right level of the regulation and also have the medajuridical elements also in mind.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270616">
    <w:multiLevelType w:val="hybridMultilevel"/>
    <w:lvl w:ilvl="0" w:tplc="839546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270616">
    <w:abstractNumId w:val="122706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86905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