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PÉTER</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Ákos Reinhardt</w:t>
            </w:r>
          </w:p>
          <w:p w:rsidR="00DB4822" w:rsidRDefault="00DB4822" w:rsidP="00E11062">
            <w:pPr>
              <w:pStyle w:val="Konzulensek"/>
            </w:pPr>
            <w:r w:rsidRPr="00DB4822">
              <w:t>consultant,  Ministry of Human Resources, Secretary of Sport for State</w:t>
            </w:r>
          </w:p>
        </w:tc>
      </w:tr>
      <w:tr w:rsidR="00DB4822" w:rsidTr="00DB4822">
        <w:tc>
          <w:tcPr>
            <w:tcW w:w="9854" w:type="dxa"/>
          </w:tcPr>
          <w:p w:rsidR="00DB4822" w:rsidRPr="00DB4822" w:rsidRDefault="00DB4822" w:rsidP="004D7940">
            <w:pPr>
              <w:pStyle w:val="Konzulensek"/>
            </w:pPr>
            <w:r w:rsidRPr="00DB4822">
              <w:t>András Koltay</w:t>
            </w:r>
          </w:p>
          <w:p w:rsidR="00DB4822" w:rsidRDefault="00DB4822" w:rsidP="00E11062">
            <w:pPr>
              <w:pStyle w:val="Konzulensek"/>
            </w:pPr>
            <w:r w:rsidRPr="00DB4822">
              <w:t>associate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Doping Control from the aspect of personality rights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research shows the connection between doping and law from the perspective of the relationship between the civil protection of personality and ethical requirements of the Fair Play. The theme is excellently demonstrating that the World Anti-Doping Agency had to be really precise during the establishment of WADA Code and related rules in order to from the beginning of the doping process until the completion and use of consequences they could always take account of the athlete's right to privacy. The difficulty to achieve this aim is in connection to the following contrary: while the fight against doping would like to implement the clean and "fair play" in sport, until the right to privacy would like to protect and respect the integrity, interference-free leeway of sportsmen and sportswomen.</w:t>
      </w:r>
    </w:p>
    <w:p>
      <w:pPr>
        <w:pBdr/>
        <w:spacing w:before="240" w:after="240" w:line="240" w:lineRule="auto"/>
        <w:ind w:left="0" w:right="0"/>
        <w:jc w:val="left"/>
      </w:pPr>
      <w:r>
        <w:rPr>
          <w:color w:val="000000"/>
          <w:sz w:val="24"/>
          <w:szCs w:val="24"/>
        </w:rPr>
        <w:t xml:space="preserve">By taking account these two elements, I would like to present and criticize the international and domestic doping control rules, and legal cases related to this topic.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756992">
    <w:multiLevelType w:val="hybridMultilevel"/>
    <w:lvl w:ilvl="0" w:tplc="787764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756992">
    <w:abstractNumId w:val="297569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56345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