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TAKÓ SÁNDOR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Tattay Levente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Pogácsás Anett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filmkészítés folyamatát övező polgári jogi kérdések Magyarországon és az Egyesült Államokban, különös tekintettel a szerzői jogra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film már több mint hetedik művészeti ág, a film hatalom, tőke, amelyre egy több milliárd dolláros iparág épül. A filmnek, mint vállalkozásnak a felfogása a világ számos részén felértékelődni látszik, mely óhatatlanul is maga után vonja a különböző hagyományú jogrendszerek egymáshoz való közeledését.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 dolgozat bemutatja, hogy két, egymástól gyökereiben eltérő jogi kultúra milyen eszközökkel igyekszik ugyanazt a célt megvalósítani, a filmipar vállalkozás szemléletű szabályozását kialakítani, s biztosítani.</w:t>
      </w:r>
      <w:r>
        <w:rPr>
          <w:color w:val="000000"/>
          <w:sz w:val="24"/>
          <w:szCs w:val="24"/>
        </w:rPr>
        <w:br/>
        <w:t xml:space="preserve">Az összehasonlítás megalapozásaként a dolgozat első nagy tartalmi egysége a magyar és az amerikai jogrendszer felfogásbeli különbségével foglalkozik, bemutatva azt, hogy a magyar jogalkotás hogyan célozza meg a vállalkozói kultúra jogi megalapozását a hazai filmiparban.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Ezután következik az értekezés központi kérdése, a filmkészítés szakaszaiban végbemenő jogi állapotváltozásokra koncentrálva annak a szemlére vétele, hogy egy filmalkotás milyen utat jár be az ötlet megszületésétől kezdődően egészen annak bemutatásáig, különösen a filmkészítéssel kapcsolatos szerzői jogi kérdésekre. Ehhez az analízishez a dolgozat segítségül hívja a legsikeresebb filmes angolszász rendszernek, az Egyesült Államoknak a jogalkotását, s jogalkalmazását. A kutatás legfőbb célkitűzése olyan intézmények, megoldások bemutatása, valamint a magyar gyakorlattal való összehasonlítása az amerikai „common law” rendszerből, amelyek jogirodalmi szinten sincsenek jelen a magyar filmkészítésben. Jogeseteken keresztül kerül megvitatásra, hogy a fokozódó és egyre gátlástalanabbá váló filmiparban a szerzői jog miért nem ad már elég biztonságot a filmkészítőknek, s válik az is világossá, hogy hogyan értékelődött fel napjainkban a kötelmi jog szerepe, mely dinamizmusával képes volt felvenni a piacgazdaság által diktált tempót.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összehasonlítás eredményeként a tézis azt a következtetést vonja le, hogy a magyar filmipar valódi sikeréről csak egy hosszú távú folyamatként kialakuló nyugati szemlélet elsajátítása után lehet beszélni, mely gondolkodásmód inkorporálása hiányzik leginkább a szakmából. Leszögezi azonban, hogy Magyarország a jogszabályi háttér sikeres kialakításával jó úton halad a felé, hogy a térség vezető filmes nagyhatalmává váljon.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48727">
    <w:multiLevelType w:val="hybridMultilevel"/>
    <w:lvl w:ilvl="0" w:tplc="37772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48727">
    <w:abstractNumId w:val="85248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710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