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/>
            </w:r>
          </w:p>
          <w:p w:rsidR="00C275A3" w:rsidRDefault="00A96AEC" w:rsidP="00C275A3">
            <w:pPr>
              <w:pStyle w:val="Hallgatokepzes"/>
            </w:pPr>
            <w:r>
              <w:t>Law</w:t>
            </w:r>
            <w:r>
              <w:br/>
            </w:r>
            <w:r w:rsidR="00E77B23">
              <w:t>Unified,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Catholic University</w:t>
            </w:r>
            <w:r w:rsidR="00C275A3">
              <w:br/>
            </w:r>
            <w:r w:rsidR="00DB4822">
              <w:t>Faculty of Law and Political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Tamás Lábady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PPKE JÁK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Ervin Belovics</w:t>
            </w:r>
          </w:p>
          <w:p w:rsidR="00DB4822" w:rsidRDefault="00DB4822" w:rsidP="00E11062">
            <w:pPr>
              <w:pStyle w:val="Konzulensek"/>
            </w:pPr>
            <w:r w:rsidRPr="00DB4822">
              <w:t>head of department, associate professor,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Legal liability in the twenty- first century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study deals with the comparison of the impeachment of the civil law and criminal law. In the first part of my written work I have presented the concordent and the discordent of both of the above-mentioned leagal fields.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next part of my study, under title „Interesting questions of the twenty-first century”, I have reviewed the liability of the legal entity and the liabilty for the environment, which topic is of a great consequence in our days. Further, my study includes curtain aspects of foreign legal practices, in the course of which I have reviewed the English and American legal regulations in connection with legal entities.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At the end of my study I have investigated the alteration of the concept of the libility, respectively I have examined whether the aggravation of the penalties would be necessary.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508333">
    <w:multiLevelType w:val="hybridMultilevel"/>
    <w:lvl w:ilvl="0" w:tplc="879154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508333">
    <w:abstractNumId w:val="985083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00974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