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CSÁKI</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Barnabás Hajas</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Nose of the administrator as an evidence instrument – Questions ofthe examination process in provingfetor complaint cases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study deals with the demonstration problems of fetor related complaint cases.</w:t>
      </w:r>
      <w:r>
        <w:rPr>
          <w:color w:val="000000"/>
          <w:sz w:val="24"/>
          <w:szCs w:val="24"/>
        </w:rPr>
        <w:br/>
        <w:t xml:space="preserve">Analysed the regulation background I aimed to point out the missing rules and the way how the gaps can be eliminated to reduce the room of usersof law in the proving process.</w:t>
      </w:r>
      <w:r>
        <w:rPr>
          <w:color w:val="000000"/>
          <w:sz w:val="24"/>
          <w:szCs w:val="24"/>
        </w:rPr>
        <w:br/>
        <w:t xml:space="preserve">The main problem is the regulations in connection with fetor are poor, there are only few ordinances for activities accompanied by fetor and the authorities do not have prehensile in decision process in fetor cases.</w:t>
      </w:r>
      <w:r>
        <w:rPr>
          <w:color w:val="000000"/>
          <w:sz w:val="24"/>
          <w:szCs w:val="24"/>
        </w:rPr>
        <w:br/>
        <w:t xml:space="preserve">In the first part of my study I will clarify the main definitions (fetor, air population) and analyse the regulations regarding fetor. After that I will mention the authorities assigned to fetor’s casesand I will analyse their praxis in clarifying the matter of facts. I will corroborate with statistic that fetor is that environmentally influence which really affects a lot of people; it causes serious awkwardness and even from this reason it has to be spend more attention to this field of regulation.</w:t>
      </w:r>
      <w:r>
        <w:rPr>
          <w:color w:val="000000"/>
          <w:sz w:val="24"/>
          <w:szCs w:val="24"/>
        </w:rPr>
        <w:br/>
        <w:t xml:space="preserve">In chapters of number 4 and 5 I will focus on issues of clarifying the facts. I lay emphasis on the proving instruments, which are frequently used in processes concerning fetor.</w:t>
      </w:r>
      <w:r>
        <w:rPr>
          <w:color w:val="000000"/>
          <w:sz w:val="24"/>
          <w:szCs w:val="24"/>
        </w:rPr>
        <w:br/>
        <w:t xml:space="preserve">The main question of my study: if an exact solution exists on that basis the evidences can be defined objectively or we have to recognise there is no other decisive evidence in the process than the nose of the administrator. Smell odour is a subjective experience which is valid for the nose of administrator too. It will mean that the decision will be taken on a subjective basis.</w:t>
      </w:r>
      <w:r>
        <w:rPr>
          <w:color w:val="000000"/>
          <w:sz w:val="24"/>
          <w:szCs w:val="24"/>
        </w:rPr>
        <w:br/>
        <w:t xml:space="preserve">Is there a solution to measure the fetor? Yes, it is the olfactometria. In the next part of my study I will deal with it.</w:t>
      </w:r>
      <w:r>
        <w:rPr>
          <w:color w:val="000000"/>
          <w:sz w:val="24"/>
          <w:szCs w:val="24"/>
        </w:rPr>
        <w:br/>
        <w:t xml:space="preserve">Finally I will present and analyse some real cases of the authorities. I make proposals for changes in the operative legal regulations. Inter alia I keep important to define which activities are connected with fetor and I would make corrections on the regulations of prevented zones and consequences.</w:t>
      </w:r>
      <w:r>
        <w:rPr>
          <w:color w:val="000000"/>
          <w:sz w:val="24"/>
          <w:szCs w:val="24"/>
        </w:rPr>
        <w:br/>
        <w:t xml:space="preserve">Concerning fetor the prevention is the most important issue. All post factum interventions will face legal barriers as it marks out from my study. The regulation has to be shaped more effective, but - in my opinion – despite of all efforts the subjective elements, the nose of the administrator, cannot be peremptorily exclude during the judgement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904277">
    <w:multiLevelType w:val="hybridMultilevel"/>
    <w:lvl w:ilvl="0" w:tplc="12380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904277">
    <w:abstractNumId w:val="879042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19344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